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b w:val="0"/>
          <w:bCs w:val="0"/>
          <w:kern w:val="0"/>
          <w:sz w:val="44"/>
          <w:szCs w:val="44"/>
          <w:lang w:val="en-US" w:eastAsia="zh-CN"/>
        </w:rPr>
      </w:pPr>
      <w:r>
        <w:rPr>
          <w:rFonts w:hint="eastAsia" w:ascii="黑体" w:hAnsi="黑体" w:eastAsia="黑体" w:cs="黑体"/>
          <w:b w:val="0"/>
          <w:bCs w:val="0"/>
          <w:kern w:val="0"/>
          <w:sz w:val="44"/>
          <w:szCs w:val="44"/>
          <w:lang w:val="en-US" w:eastAsia="zh-CN"/>
        </w:rPr>
        <w:t>杨统旭履职报告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自</w:t>
      </w:r>
      <w:r>
        <w:rPr>
          <w:rFonts w:hint="eastAsia" w:ascii="Times New Roman" w:hAnsi="Times New Roman" w:eastAsia="仿宋_GB2312" w:cs="Times New Roman"/>
          <w:color w:val="000000"/>
          <w:kern w:val="2"/>
          <w:sz w:val="32"/>
          <w:szCs w:val="30"/>
          <w:lang w:val="en-US" w:eastAsia="zh-CN" w:bidi="ar-SA"/>
        </w:rPr>
        <w:t>2021</w:t>
      </w:r>
      <w:r>
        <w:rPr>
          <w:rFonts w:hint="eastAsia" w:ascii="仿宋" w:hAnsi="仿宋" w:eastAsia="仿宋" w:cs="仿宋"/>
          <w:sz w:val="32"/>
          <w:szCs w:val="32"/>
          <w:lang w:val="en-US" w:eastAsia="zh-CN"/>
        </w:rPr>
        <w:t>年以来作为员额检察官先后在第六检察部、第二检察部从事未成年人检察和刑事检察（经济、职务和重大犯罪案件）工作。三年来坚定政治立场，以习近平新时代中国特色社会主义思想为行动指南，学思践悟习近平法治思想，以高质效办好每一个刑事案件为理念指引，致力于细致审查、精准指控、有力监督，力争做到所办案件政治效果、法律效果和社会效果的有机统一。</w:t>
      </w:r>
      <w:r>
        <w:rPr>
          <w:rFonts w:hint="eastAsia" w:ascii="仿宋" w:hAnsi="仿宋" w:eastAsia="仿宋" w:cs="仿宋"/>
          <w:sz w:val="32"/>
          <w:szCs w:val="32"/>
          <w:lang w:eastAsia="zh-CN"/>
        </w:rPr>
        <w:t>现将三年来的履职情况</w:t>
      </w:r>
      <w:r>
        <w:rPr>
          <w:rFonts w:hint="eastAsia" w:ascii="仿宋" w:hAnsi="仿宋" w:eastAsia="仿宋" w:cs="仿宋"/>
          <w:sz w:val="32"/>
          <w:szCs w:val="32"/>
          <w:lang w:val="en-US" w:eastAsia="zh-CN"/>
        </w:rPr>
        <w:t>报告</w:t>
      </w:r>
      <w:r>
        <w:rPr>
          <w:rFonts w:hint="eastAsia" w:ascii="仿宋" w:hAnsi="仿宋" w:eastAsia="仿宋" w:cs="仿宋"/>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一是依法惩治、精准帮教涉罪未成年人</w:t>
      </w:r>
      <w:r>
        <w:rPr>
          <w:rFonts w:hint="eastAsia" w:ascii="Times New Roman" w:hAnsi="Times New Roman" w:eastAsia="仿宋_GB2312" w:cs="Times New Roman"/>
          <w:color w:val="000000"/>
          <w:kern w:val="2"/>
          <w:sz w:val="32"/>
          <w:szCs w:val="30"/>
          <w:lang w:val="en-US" w:eastAsia="zh-CN" w:bidi="ar-SA"/>
        </w:rPr>
        <w:t>。2021</w:t>
      </w:r>
      <w:r>
        <w:rPr>
          <w:rFonts w:hint="eastAsia" w:ascii="仿宋" w:hAnsi="仿宋" w:eastAsia="仿宋" w:cs="仿宋"/>
          <w:sz w:val="32"/>
          <w:szCs w:val="32"/>
          <w:lang w:val="en-US" w:eastAsia="zh-CN"/>
        </w:rPr>
        <w:t>年度共办理</w:t>
      </w:r>
      <w:r>
        <w:rPr>
          <w:rFonts w:hint="eastAsia" w:ascii="仿宋" w:hAnsi="仿宋" w:eastAsia="仿宋" w:cs="仿宋"/>
          <w:sz w:val="32"/>
          <w:szCs w:val="32"/>
        </w:rPr>
        <w:t>涉未审查逮捕案件</w:t>
      </w:r>
      <w:r>
        <w:rPr>
          <w:rFonts w:hint="eastAsia" w:ascii="Times New Roman" w:hAnsi="Times New Roman" w:eastAsia="仿宋_GB2312" w:cs="Times New Roman"/>
          <w:color w:val="000000"/>
          <w:kern w:val="2"/>
          <w:sz w:val="32"/>
          <w:szCs w:val="30"/>
          <w:lang w:val="en-US" w:eastAsia="zh-CN" w:bidi="ar-SA"/>
        </w:rPr>
        <w:t>19</w:t>
      </w:r>
      <w:r>
        <w:rPr>
          <w:rFonts w:hint="eastAsia" w:ascii="仿宋" w:hAnsi="仿宋" w:eastAsia="仿宋" w:cs="仿宋"/>
          <w:sz w:val="32"/>
          <w:szCs w:val="32"/>
        </w:rPr>
        <w:t>件</w:t>
      </w:r>
      <w:r>
        <w:rPr>
          <w:rFonts w:hint="eastAsia" w:ascii="Times New Roman" w:hAnsi="Times New Roman" w:eastAsia="仿宋_GB2312" w:cs="Times New Roman"/>
          <w:color w:val="000000"/>
          <w:kern w:val="2"/>
          <w:sz w:val="32"/>
          <w:szCs w:val="30"/>
          <w:lang w:val="en-US" w:eastAsia="zh-CN" w:bidi="ar-SA"/>
        </w:rPr>
        <w:t>27</w:t>
      </w:r>
      <w:r>
        <w:rPr>
          <w:rFonts w:hint="eastAsia" w:ascii="仿宋" w:hAnsi="仿宋" w:eastAsia="仿宋" w:cs="仿宋"/>
          <w:sz w:val="32"/>
          <w:szCs w:val="32"/>
        </w:rPr>
        <w:t>人，涉未审查起诉案件</w:t>
      </w:r>
      <w:r>
        <w:rPr>
          <w:rFonts w:hint="eastAsia" w:ascii="Times New Roman" w:hAnsi="Times New Roman" w:eastAsia="仿宋_GB2312" w:cs="Times New Roman"/>
          <w:color w:val="000000"/>
          <w:kern w:val="2"/>
          <w:sz w:val="32"/>
          <w:szCs w:val="30"/>
          <w:lang w:val="en-US" w:eastAsia="zh-CN" w:bidi="ar-SA"/>
        </w:rPr>
        <w:t>39</w:t>
      </w:r>
      <w:r>
        <w:rPr>
          <w:rFonts w:hint="eastAsia" w:ascii="仿宋" w:hAnsi="仿宋" w:eastAsia="仿宋" w:cs="仿宋"/>
          <w:sz w:val="32"/>
          <w:szCs w:val="32"/>
        </w:rPr>
        <w:t>件</w:t>
      </w:r>
      <w:r>
        <w:rPr>
          <w:rFonts w:hint="eastAsia" w:ascii="Times New Roman" w:hAnsi="Times New Roman" w:eastAsia="仿宋_GB2312" w:cs="Times New Roman"/>
          <w:color w:val="000000"/>
          <w:kern w:val="2"/>
          <w:sz w:val="32"/>
          <w:szCs w:val="30"/>
          <w:lang w:val="en-US" w:eastAsia="zh-CN" w:bidi="ar-SA"/>
        </w:rPr>
        <w:t>44</w:t>
      </w:r>
      <w:r>
        <w:rPr>
          <w:rFonts w:hint="eastAsia" w:ascii="仿宋" w:hAnsi="仿宋" w:eastAsia="仿宋" w:cs="仿宋"/>
          <w:sz w:val="32"/>
          <w:szCs w:val="32"/>
        </w:rPr>
        <w:t>人</w:t>
      </w:r>
      <w:r>
        <w:rPr>
          <w:rFonts w:hint="eastAsia" w:ascii="仿宋" w:hAnsi="仿宋" w:eastAsia="仿宋" w:cs="仿宋"/>
          <w:sz w:val="32"/>
          <w:szCs w:val="32"/>
          <w:lang w:eastAsia="zh-CN"/>
        </w:rPr>
        <w:t>。一方面，</w:t>
      </w:r>
      <w:r>
        <w:rPr>
          <w:rFonts w:hint="eastAsia" w:ascii="仿宋" w:hAnsi="仿宋" w:eastAsia="仿宋" w:cs="仿宋"/>
          <w:sz w:val="32"/>
          <w:szCs w:val="32"/>
        </w:rPr>
        <w:t>草拟</w:t>
      </w:r>
      <w:r>
        <w:rPr>
          <w:rFonts w:hint="eastAsia" w:ascii="仿宋" w:hAnsi="仿宋" w:eastAsia="仿宋" w:cs="仿宋"/>
          <w:sz w:val="32"/>
          <w:szCs w:val="32"/>
          <w:lang w:eastAsia="zh-CN"/>
        </w:rPr>
        <w:t>并制定</w:t>
      </w:r>
      <w:r>
        <w:rPr>
          <w:rFonts w:hint="eastAsia" w:ascii="仿宋" w:hAnsi="仿宋" w:eastAsia="仿宋" w:cs="仿宋"/>
          <w:sz w:val="32"/>
          <w:szCs w:val="32"/>
        </w:rPr>
        <w:t>《关于加强未成年人刑事案件精细化办理的规定》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严格落实未成年人特别程序，对不捕不诉涉罪未成年人均严格跟踪落实帮教措施，</w:t>
      </w:r>
      <w:r>
        <w:rPr>
          <w:rFonts w:hint="eastAsia" w:ascii="仿宋" w:hAnsi="仿宋" w:eastAsia="仿宋" w:cs="仿宋"/>
          <w:sz w:val="32"/>
          <w:szCs w:val="32"/>
          <w:lang w:eastAsia="zh-CN"/>
        </w:rPr>
        <w:t>推进涉罪未成年人精细化办理，加强</w:t>
      </w:r>
      <w:r>
        <w:rPr>
          <w:rFonts w:hint="eastAsia" w:ascii="仿宋" w:hAnsi="仿宋" w:eastAsia="仿宋" w:cs="仿宋"/>
          <w:sz w:val="32"/>
          <w:szCs w:val="32"/>
          <w:lang w:val="en-US" w:eastAsia="zh-CN"/>
        </w:rPr>
        <w:t>涉罪未成年人依法惩治、精准帮教效果</w:t>
      </w:r>
      <w:r>
        <w:rPr>
          <w:rFonts w:hint="eastAsia" w:ascii="仿宋" w:hAnsi="仿宋" w:eastAsia="仿宋" w:cs="仿宋"/>
          <w:sz w:val="32"/>
          <w:szCs w:val="32"/>
          <w:lang w:eastAsia="zh-CN"/>
        </w:rPr>
        <w:t>。</w:t>
      </w:r>
      <w:r>
        <w:rPr>
          <w:rFonts w:hint="eastAsia" w:ascii="仿宋" w:hAnsi="仿宋" w:eastAsia="仿宋" w:cs="仿宋"/>
          <w:sz w:val="32"/>
          <w:szCs w:val="32"/>
        </w:rPr>
        <w:t>办理的未成年人王某某人格甄别及精准帮教案获温州市龙湾区第三届妇女儿童维权案例三等奖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另一方面，严厉打击侵害未成年人犯罪，保护救助未成年被害人。针对性侵害、暴力伤害未成年人犯罪，均从严从重提出量刑建议。同时，做实做好未成年人被害人保护救助工作，共对未成年被害人开展心理疏导</w:t>
      </w:r>
      <w:r>
        <w:rPr>
          <w:rFonts w:hint="eastAsia" w:ascii="Times New Roman" w:hAnsi="Times New Roman" w:eastAsia="仿宋_GB2312" w:cs="Times New Roman"/>
          <w:color w:val="000000"/>
          <w:kern w:val="2"/>
          <w:sz w:val="32"/>
          <w:szCs w:val="30"/>
          <w:lang w:val="en-US" w:eastAsia="zh-CN" w:bidi="ar-SA"/>
        </w:rPr>
        <w:t>15</w:t>
      </w:r>
      <w:r>
        <w:rPr>
          <w:rFonts w:hint="eastAsia" w:ascii="仿宋" w:hAnsi="仿宋" w:eastAsia="仿宋" w:cs="仿宋"/>
          <w:sz w:val="32"/>
          <w:szCs w:val="32"/>
          <w:lang w:val="en-US" w:eastAsia="zh-CN"/>
        </w:rPr>
        <w:t>人次，开展家庭疏导</w:t>
      </w:r>
      <w:r>
        <w:rPr>
          <w:rFonts w:hint="eastAsia" w:ascii="Times New Roman" w:hAnsi="Times New Roman" w:eastAsia="仿宋_GB2312" w:cs="Times New Roman"/>
          <w:color w:val="000000"/>
          <w:kern w:val="2"/>
          <w:sz w:val="32"/>
          <w:szCs w:val="30"/>
          <w:lang w:val="en-US" w:eastAsia="zh-CN" w:bidi="ar-SA"/>
        </w:rPr>
        <w:t>4次</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二是做好未检融合式监督，为未成年人提供全方位司法保护。</w:t>
      </w:r>
      <w:r>
        <w:rPr>
          <w:rFonts w:hint="eastAsia" w:ascii="仿宋" w:hAnsi="仿宋" w:eastAsia="仿宋" w:cs="仿宋"/>
          <w:sz w:val="32"/>
          <w:szCs w:val="32"/>
          <w:lang w:val="en-US" w:eastAsia="zh-CN"/>
        </w:rPr>
        <w:t>一是加强涉未刑事案件的立案、侦查和审判监督。监督公安机关撤案</w:t>
      </w:r>
      <w:r>
        <w:rPr>
          <w:rFonts w:hint="eastAsia" w:ascii="Times New Roman" w:hAnsi="Times New Roman" w:eastAsia="仿宋_GB2312" w:cs="Times New Roman"/>
          <w:color w:val="000000"/>
          <w:kern w:val="2"/>
          <w:sz w:val="32"/>
          <w:szCs w:val="30"/>
          <w:lang w:val="en-US" w:eastAsia="zh-CN" w:bidi="ar-SA"/>
        </w:rPr>
        <w:t>5</w:t>
      </w:r>
      <w:r>
        <w:rPr>
          <w:rFonts w:hint="eastAsia" w:ascii="仿宋" w:hAnsi="仿宋" w:eastAsia="仿宋" w:cs="仿宋"/>
          <w:sz w:val="32"/>
          <w:szCs w:val="32"/>
          <w:lang w:val="en-US" w:eastAsia="zh-CN"/>
        </w:rPr>
        <w:t>人，针对未落实未成年人特别程序向公安机关发出纠正违法通知书</w:t>
      </w:r>
      <w:r>
        <w:rPr>
          <w:rFonts w:hint="eastAsia" w:ascii="Times New Roman" w:hAnsi="Times New Roman" w:eastAsia="仿宋_GB2312" w:cs="Times New Roman"/>
          <w:color w:val="000000"/>
          <w:kern w:val="2"/>
          <w:sz w:val="32"/>
          <w:szCs w:val="30"/>
          <w:lang w:val="en-US" w:eastAsia="zh-CN" w:bidi="ar-SA"/>
        </w:rPr>
        <w:t>2</w:t>
      </w:r>
      <w:r>
        <w:rPr>
          <w:rFonts w:hint="eastAsia" w:ascii="仿宋" w:hAnsi="仿宋" w:eastAsia="仿宋" w:cs="仿宋"/>
          <w:sz w:val="32"/>
          <w:szCs w:val="32"/>
          <w:lang w:val="en-US" w:eastAsia="zh-CN"/>
        </w:rPr>
        <w:t>份。二是开展涉未公益诉讼监督。联合市场监督管理局等至校园食堂、校园周边等开展食品专项检察监督，聚焦涉未食品等重点领域摸排涉未公益诉讼线索。针对涉未食品安全、校园周边环境污染等领域共主办涉未公益诉讼案件</w:t>
      </w:r>
      <w:r>
        <w:rPr>
          <w:rFonts w:hint="eastAsia" w:ascii="Times New Roman" w:hAnsi="Times New Roman" w:eastAsia="仿宋_GB2312" w:cs="Times New Roman"/>
          <w:color w:val="000000"/>
          <w:kern w:val="2"/>
          <w:sz w:val="32"/>
          <w:szCs w:val="30"/>
          <w:lang w:val="en-US" w:eastAsia="zh-CN" w:bidi="ar-SA"/>
        </w:rPr>
        <w:t>4</w:t>
      </w:r>
      <w:r>
        <w:rPr>
          <w:rFonts w:hint="eastAsia" w:ascii="仿宋" w:hAnsi="仿宋" w:eastAsia="仿宋" w:cs="仿宋"/>
          <w:sz w:val="32"/>
          <w:szCs w:val="32"/>
          <w:lang w:val="en-US" w:eastAsia="zh-CN"/>
        </w:rPr>
        <w:t>件，均得到相关行政机关的采纳并整改。三是探索涉未民事监督。草拟并</w:t>
      </w:r>
      <w:r>
        <w:rPr>
          <w:rFonts w:hint="eastAsia" w:ascii="仿宋" w:hAnsi="仿宋" w:eastAsia="仿宋" w:cs="仿宋"/>
          <w:sz w:val="32"/>
          <w:szCs w:val="32"/>
        </w:rPr>
        <w:t>联合</w:t>
      </w:r>
      <w:r>
        <w:rPr>
          <w:rFonts w:hint="eastAsia" w:ascii="仿宋" w:hAnsi="仿宋" w:eastAsia="仿宋" w:cs="仿宋"/>
          <w:sz w:val="32"/>
          <w:szCs w:val="32"/>
          <w:lang w:eastAsia="zh-CN"/>
        </w:rPr>
        <w:t>区</w:t>
      </w:r>
      <w:r>
        <w:rPr>
          <w:rFonts w:hint="eastAsia" w:ascii="仿宋" w:hAnsi="仿宋" w:eastAsia="仿宋" w:cs="仿宋"/>
          <w:sz w:val="32"/>
          <w:szCs w:val="32"/>
        </w:rPr>
        <w:t>法院、妇联出台</w:t>
      </w:r>
      <w:r>
        <w:rPr>
          <w:rFonts w:hint="eastAsia" w:ascii="仿宋" w:hAnsi="仿宋" w:eastAsia="仿宋" w:cs="仿宋"/>
          <w:sz w:val="32"/>
          <w:szCs w:val="32"/>
          <w:lang w:eastAsia="zh-CN"/>
        </w:rPr>
        <w:t>了</w:t>
      </w:r>
      <w:r>
        <w:rPr>
          <w:rFonts w:hint="eastAsia" w:ascii="仿宋" w:hAnsi="仿宋" w:eastAsia="仿宋" w:cs="仿宋"/>
          <w:sz w:val="32"/>
          <w:szCs w:val="32"/>
        </w:rPr>
        <w:t>《关于加强家事案件涉未成年人权益司法保护工作的实施意见》</w:t>
      </w:r>
      <w:r>
        <w:rPr>
          <w:rFonts w:hint="eastAsia" w:ascii="仿宋" w:hAnsi="仿宋" w:eastAsia="仿宋" w:cs="仿宋"/>
          <w:sz w:val="32"/>
          <w:szCs w:val="32"/>
          <w:lang w:eastAsia="zh-CN"/>
        </w:rPr>
        <w:t>，相关经验由省院未检工作交流转发。以未成年人人身安全、抚养权等为重点共办理涉未民事监督案件</w:t>
      </w:r>
      <w:r>
        <w:rPr>
          <w:rFonts w:hint="eastAsia" w:ascii="Times New Roman" w:hAnsi="Times New Roman" w:eastAsia="仿宋_GB2312" w:cs="Times New Roman"/>
          <w:color w:val="000000"/>
          <w:kern w:val="2"/>
          <w:sz w:val="32"/>
          <w:szCs w:val="30"/>
          <w:lang w:val="en-US" w:eastAsia="zh-CN" w:bidi="ar-SA"/>
        </w:rPr>
        <w:t>3</w:t>
      </w:r>
      <w:r>
        <w:rPr>
          <w:rFonts w:hint="eastAsia" w:ascii="仿宋" w:hAnsi="仿宋" w:eastAsia="仿宋" w:cs="仿宋"/>
          <w:sz w:val="32"/>
          <w:szCs w:val="32"/>
          <w:lang w:val="en-US" w:eastAsia="zh-CN"/>
        </w:rPr>
        <w:t>件，涵盖涉未成年人抚养权变更、人身安全保护令、撤销监护人资格等内容。办理的李某某强奸及撤销监护人资格案获评</w:t>
      </w:r>
      <w:r>
        <w:rPr>
          <w:rFonts w:hint="eastAsia" w:ascii="Times New Roman" w:hAnsi="Times New Roman" w:eastAsia="仿宋_GB2312" w:cs="Times New Roman"/>
          <w:color w:val="000000"/>
          <w:kern w:val="2"/>
          <w:sz w:val="32"/>
          <w:szCs w:val="30"/>
          <w:lang w:val="en-US" w:eastAsia="zh-CN" w:bidi="ar-SA"/>
        </w:rPr>
        <w:t>2021</w:t>
      </w:r>
      <w:r>
        <w:rPr>
          <w:rFonts w:hint="eastAsia" w:ascii="仿宋" w:hAnsi="仿宋" w:eastAsia="仿宋" w:cs="仿宋"/>
          <w:sz w:val="32"/>
          <w:szCs w:val="32"/>
          <w:lang w:val="en-US" w:eastAsia="zh-CN"/>
        </w:rPr>
        <w:t>年度温州市检察机关精品案例。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三是聚焦主责主业，充分履行刑事法律监督职责。</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sz w:val="32"/>
          <w:szCs w:val="32"/>
          <w:lang w:val="en-US" w:eastAsia="zh-CN"/>
        </w:rPr>
        <w:t>年以来从事刑事检察工作</w:t>
      </w:r>
      <w:r>
        <w:rPr>
          <w:rFonts w:hint="eastAsia" w:ascii="仿宋" w:hAnsi="仿宋" w:eastAsia="仿宋" w:cs="仿宋"/>
          <w:sz w:val="32"/>
          <w:szCs w:val="32"/>
          <w:lang w:eastAsia="zh-CN"/>
        </w:rPr>
        <w:t>共办结重大、职务和经济犯罪审查逮捕案件</w:t>
      </w:r>
      <w:r>
        <w:rPr>
          <w:rFonts w:hint="eastAsia" w:ascii="Times New Roman" w:hAnsi="Times New Roman" w:eastAsia="仿宋_GB2312" w:cs="Times New Roman"/>
          <w:color w:val="000000"/>
          <w:kern w:val="2"/>
          <w:sz w:val="32"/>
          <w:szCs w:val="30"/>
          <w:lang w:val="en-US" w:eastAsia="zh-CN" w:bidi="ar-SA"/>
        </w:rPr>
        <w:t>17</w:t>
      </w:r>
      <w:r>
        <w:rPr>
          <w:rFonts w:hint="eastAsia" w:ascii="仿宋" w:hAnsi="仿宋" w:eastAsia="仿宋" w:cs="仿宋"/>
          <w:sz w:val="32"/>
          <w:szCs w:val="32"/>
          <w:lang w:val="en-US" w:eastAsia="zh-CN"/>
        </w:rPr>
        <w:t>件</w:t>
      </w:r>
      <w:r>
        <w:rPr>
          <w:rFonts w:hint="eastAsia" w:ascii="Times New Roman" w:hAnsi="Times New Roman" w:eastAsia="仿宋_GB2312" w:cs="Times New Roman"/>
          <w:color w:val="000000"/>
          <w:kern w:val="2"/>
          <w:sz w:val="32"/>
          <w:szCs w:val="30"/>
          <w:lang w:val="en-US" w:eastAsia="zh-CN" w:bidi="ar-SA"/>
        </w:rPr>
        <w:t>27</w:t>
      </w:r>
      <w:r>
        <w:rPr>
          <w:rFonts w:hint="eastAsia" w:ascii="仿宋" w:hAnsi="仿宋" w:eastAsia="仿宋" w:cs="仿宋"/>
          <w:sz w:val="32"/>
          <w:szCs w:val="32"/>
          <w:lang w:val="en-US" w:eastAsia="zh-CN"/>
        </w:rPr>
        <w:t>人，办结审查起诉案件</w:t>
      </w:r>
      <w:r>
        <w:rPr>
          <w:rFonts w:hint="eastAsia" w:ascii="Times New Roman" w:hAnsi="Times New Roman" w:eastAsia="仿宋_GB2312" w:cs="Times New Roman"/>
          <w:color w:val="000000"/>
          <w:kern w:val="2"/>
          <w:sz w:val="32"/>
          <w:szCs w:val="30"/>
          <w:lang w:val="en-US" w:eastAsia="zh-CN" w:bidi="ar-SA"/>
        </w:rPr>
        <w:t>99</w:t>
      </w:r>
      <w:r>
        <w:rPr>
          <w:rFonts w:hint="eastAsia" w:ascii="仿宋" w:hAnsi="仿宋" w:eastAsia="仿宋" w:cs="仿宋"/>
          <w:sz w:val="32"/>
          <w:szCs w:val="32"/>
          <w:lang w:val="en-US" w:eastAsia="zh-CN"/>
        </w:rPr>
        <w:t>件</w:t>
      </w:r>
      <w:r>
        <w:rPr>
          <w:rFonts w:hint="eastAsia" w:ascii="Times New Roman" w:hAnsi="Times New Roman" w:eastAsia="仿宋_GB2312" w:cs="Times New Roman"/>
          <w:color w:val="000000"/>
          <w:kern w:val="2"/>
          <w:sz w:val="32"/>
          <w:szCs w:val="30"/>
          <w:lang w:val="en-US" w:eastAsia="zh-CN" w:bidi="ar-SA"/>
        </w:rPr>
        <w:t>155</w:t>
      </w:r>
      <w:r>
        <w:rPr>
          <w:rFonts w:hint="eastAsia" w:ascii="仿宋" w:hAnsi="仿宋" w:eastAsia="仿宋" w:cs="仿宋"/>
          <w:sz w:val="32"/>
          <w:szCs w:val="32"/>
          <w:lang w:val="en-US" w:eastAsia="zh-CN"/>
        </w:rPr>
        <w:t>人。同时接受本院指派援助洞头区人民检察院办理审查起诉案件</w:t>
      </w:r>
      <w:r>
        <w:rPr>
          <w:rFonts w:hint="eastAsia" w:ascii="Times New Roman" w:hAnsi="Times New Roman" w:eastAsia="仿宋_GB2312" w:cs="Times New Roman"/>
          <w:color w:val="000000"/>
          <w:kern w:val="2"/>
          <w:sz w:val="32"/>
          <w:szCs w:val="30"/>
          <w:lang w:val="en-US" w:eastAsia="zh-CN" w:bidi="ar-SA"/>
        </w:rPr>
        <w:t>10</w:t>
      </w:r>
      <w:r>
        <w:rPr>
          <w:rFonts w:hint="eastAsia" w:ascii="仿宋" w:hAnsi="仿宋" w:eastAsia="仿宋" w:cs="仿宋"/>
          <w:sz w:val="32"/>
          <w:szCs w:val="32"/>
          <w:lang w:val="en-US" w:eastAsia="zh-CN"/>
        </w:rPr>
        <w:t>件</w:t>
      </w:r>
      <w:r>
        <w:rPr>
          <w:rFonts w:hint="eastAsia" w:ascii="Times New Roman" w:hAnsi="Times New Roman" w:eastAsia="仿宋_GB2312" w:cs="Times New Roman"/>
          <w:color w:val="000000"/>
          <w:kern w:val="2"/>
          <w:sz w:val="32"/>
          <w:szCs w:val="30"/>
          <w:lang w:val="en-US" w:eastAsia="zh-CN" w:bidi="ar-SA"/>
        </w:rPr>
        <w:t>18</w:t>
      </w:r>
      <w:r>
        <w:rPr>
          <w:rFonts w:hint="eastAsia" w:ascii="仿宋" w:hAnsi="仿宋" w:eastAsia="仿宋" w:cs="仿宋"/>
          <w:sz w:val="32"/>
          <w:szCs w:val="32"/>
          <w:lang w:val="en-US" w:eastAsia="zh-CN"/>
        </w:rPr>
        <w:t>人。两年来聚焦主责主业，在办案中充分履行刑事法律监督职责，共立案监督</w:t>
      </w:r>
      <w:r>
        <w:rPr>
          <w:rFonts w:hint="eastAsia" w:ascii="Times New Roman" w:hAnsi="Times New Roman" w:eastAsia="仿宋_GB2312" w:cs="Times New Roman"/>
          <w:color w:val="000000"/>
          <w:kern w:val="2"/>
          <w:sz w:val="32"/>
          <w:szCs w:val="30"/>
          <w:lang w:val="en-US" w:eastAsia="zh-CN" w:bidi="ar-SA"/>
        </w:rPr>
        <w:t>2</w:t>
      </w:r>
      <w:r>
        <w:rPr>
          <w:rFonts w:hint="eastAsia" w:ascii="仿宋" w:hAnsi="仿宋" w:eastAsia="仿宋" w:cs="仿宋"/>
          <w:sz w:val="32"/>
          <w:szCs w:val="32"/>
          <w:lang w:val="en-US" w:eastAsia="zh-CN"/>
        </w:rPr>
        <w:t>人，追诉</w:t>
      </w:r>
      <w:r>
        <w:rPr>
          <w:rFonts w:hint="eastAsia" w:ascii="Times New Roman" w:hAnsi="Times New Roman" w:eastAsia="仿宋_GB2312" w:cs="Times New Roman"/>
          <w:color w:val="000000"/>
          <w:kern w:val="2"/>
          <w:sz w:val="32"/>
          <w:szCs w:val="30"/>
          <w:lang w:val="en-US" w:eastAsia="zh-CN" w:bidi="ar-SA"/>
        </w:rPr>
        <w:t>1</w:t>
      </w:r>
      <w:r>
        <w:rPr>
          <w:rFonts w:hint="eastAsia" w:ascii="仿宋" w:hAnsi="仿宋" w:eastAsia="仿宋" w:cs="仿宋"/>
          <w:sz w:val="32"/>
          <w:szCs w:val="32"/>
          <w:lang w:val="en-US" w:eastAsia="zh-CN"/>
        </w:rPr>
        <w:t>人，撤案监督</w:t>
      </w:r>
      <w:r>
        <w:rPr>
          <w:rFonts w:hint="eastAsia" w:ascii="Times New Roman" w:hAnsi="Times New Roman" w:eastAsia="仿宋_GB2312" w:cs="Times New Roman"/>
          <w:color w:val="000000"/>
          <w:kern w:val="2"/>
          <w:sz w:val="32"/>
          <w:szCs w:val="30"/>
          <w:lang w:val="en-US" w:eastAsia="zh-CN" w:bidi="ar-SA"/>
        </w:rPr>
        <w:t>6</w:t>
      </w:r>
      <w:r>
        <w:rPr>
          <w:rFonts w:hint="eastAsia" w:ascii="仿宋" w:hAnsi="仿宋" w:eastAsia="仿宋" w:cs="仿宋"/>
          <w:sz w:val="32"/>
          <w:szCs w:val="32"/>
          <w:lang w:val="en-US" w:eastAsia="zh-CN"/>
        </w:rPr>
        <w:t>人，发出侦查活动监督通知书</w:t>
      </w:r>
      <w:r>
        <w:rPr>
          <w:rFonts w:hint="eastAsia" w:ascii="Times New Roman" w:hAnsi="Times New Roman" w:eastAsia="仿宋_GB2312" w:cs="Times New Roman"/>
          <w:color w:val="000000"/>
          <w:kern w:val="2"/>
          <w:sz w:val="32"/>
          <w:szCs w:val="30"/>
          <w:lang w:val="en-US" w:eastAsia="zh-CN" w:bidi="ar-SA"/>
        </w:rPr>
        <w:t>8</w:t>
      </w:r>
      <w:r>
        <w:rPr>
          <w:rFonts w:hint="eastAsia" w:ascii="仿宋" w:hAnsi="仿宋" w:eastAsia="仿宋" w:cs="仿宋"/>
          <w:sz w:val="32"/>
          <w:szCs w:val="32"/>
          <w:lang w:val="en-US" w:eastAsia="zh-CN"/>
        </w:rPr>
        <w:t>份。其中追诉的廖易丰诈骗案被法院判处有期徒刑十年，通过细致疏理监督线索，积极引导侦查，大力自行补充侦查，听取意见多次说明，促使被告人认罪认罚，该案办理得到国家级媒体检察日报的宣传报道。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四是妥善审慎高质效处理涉众信访案件。成功办结陈某某等</w:t>
      </w:r>
      <w:r>
        <w:rPr>
          <w:rFonts w:hint="eastAsia" w:ascii="Times New Roman" w:hAnsi="Times New Roman" w:eastAsia="仿宋_GB2312" w:cs="Times New Roman"/>
          <w:color w:val="000000"/>
          <w:kern w:val="2"/>
          <w:sz w:val="32"/>
          <w:szCs w:val="30"/>
          <w:lang w:val="en-US" w:eastAsia="zh-CN" w:bidi="ar-SA"/>
        </w:rPr>
        <w:t>5</w:t>
      </w:r>
      <w:r>
        <w:rPr>
          <w:rFonts w:hint="eastAsia" w:ascii="仿宋" w:hAnsi="仿宋" w:eastAsia="仿宋" w:cs="仿宋"/>
          <w:sz w:val="32"/>
          <w:szCs w:val="32"/>
          <w:lang w:val="en-US" w:eastAsia="zh-CN"/>
        </w:rPr>
        <w:t>人合同诈骗、伪造国家机关证件、非国家工作人员行贿、骗取贷款案及相关系列案件并出色完成出庭公诉任务。针对该案办理参与了“不动产交易的金融分享与司法规制”司法实务沙龙，并向温州市龙湾区住房和城乡建设局发出检察建议推动本区房地产经纪活动。该案办理合法合理支持了</w:t>
      </w:r>
      <w:r>
        <w:rPr>
          <w:rFonts w:hint="eastAsia" w:ascii="Times New Roman" w:hAnsi="Times New Roman" w:eastAsia="仿宋_GB2312" w:cs="Times New Roman"/>
          <w:color w:val="000000"/>
          <w:kern w:val="2"/>
          <w:sz w:val="32"/>
          <w:szCs w:val="30"/>
          <w:lang w:val="en-US" w:eastAsia="zh-CN" w:bidi="ar-SA"/>
        </w:rPr>
        <w:t>28</w:t>
      </w:r>
      <w:r>
        <w:rPr>
          <w:rFonts w:hint="eastAsia" w:ascii="仿宋" w:hAnsi="仿宋" w:eastAsia="仿宋" w:cs="仿宋"/>
          <w:sz w:val="32"/>
          <w:szCs w:val="32"/>
          <w:lang w:val="en-US" w:eastAsia="zh-CN"/>
        </w:rPr>
        <w:t>名被害人房产的民生需求，充分保障了众多弱势群体被害人的利益，成功促使被害人息诉罢访，办结后得到被害人高度认可。该案办理荣获</w:t>
      </w:r>
      <w:r>
        <w:rPr>
          <w:rFonts w:hint="eastAsia" w:ascii="Times New Roman" w:hAnsi="Times New Roman" w:eastAsia="仿宋_GB2312" w:cs="Times New Roman"/>
          <w:color w:val="000000"/>
          <w:kern w:val="2"/>
          <w:sz w:val="32"/>
          <w:szCs w:val="30"/>
          <w:lang w:val="en-US" w:eastAsia="zh-CN" w:bidi="ar-SA"/>
        </w:rPr>
        <w:t>2023</w:t>
      </w:r>
      <w:r>
        <w:rPr>
          <w:rFonts w:hint="eastAsia" w:ascii="仿宋" w:hAnsi="仿宋" w:eastAsia="仿宋" w:cs="仿宋"/>
          <w:sz w:val="32"/>
          <w:szCs w:val="32"/>
          <w:lang w:val="en-US" w:eastAsia="zh-CN"/>
        </w:rPr>
        <w:t>年温州市检察机关刑事办案质效类精品案例。同时，该案的办理得到国家级媒体检察日报以及最高人民检察院公众号今晚九点半栏目的宣传报道，相关经验做法刊载于浙江省人民检察院主办的《浙检绿苑》杂志。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五是加强法治宣传，积极助推社会治理。</w:t>
      </w:r>
      <w:r>
        <w:rPr>
          <w:rFonts w:hint="eastAsia" w:ascii="仿宋" w:hAnsi="仿宋" w:eastAsia="仿宋" w:cs="仿宋"/>
          <w:sz w:val="32"/>
          <w:szCs w:val="32"/>
          <w:lang w:eastAsia="zh-CN"/>
        </w:rPr>
        <w:t>积极推进法治进校园活动并担任法治副校长，联合团区委、区司法局开展“开学法治第一课”活动至中小学开展法治课</w:t>
      </w:r>
      <w:r>
        <w:rPr>
          <w:rFonts w:hint="eastAsia" w:ascii="Times New Roman" w:hAnsi="Times New Roman" w:eastAsia="仿宋_GB2312" w:cs="Times New Roman"/>
          <w:color w:val="000000"/>
          <w:kern w:val="2"/>
          <w:sz w:val="32"/>
          <w:szCs w:val="30"/>
          <w:lang w:val="en-US" w:eastAsia="zh-CN" w:bidi="ar-SA"/>
        </w:rPr>
        <w:t>6</w:t>
      </w:r>
      <w:r>
        <w:rPr>
          <w:rFonts w:hint="eastAsia" w:ascii="仿宋" w:hAnsi="仿宋" w:eastAsia="仿宋" w:cs="仿宋"/>
          <w:sz w:val="32"/>
          <w:szCs w:val="32"/>
          <w:lang w:val="en-US" w:eastAsia="zh-CN"/>
        </w:rPr>
        <w:t>次；</w:t>
      </w:r>
      <w:r>
        <w:rPr>
          <w:rFonts w:hint="eastAsia" w:ascii="Times New Roman" w:hAnsi="Times New Roman" w:eastAsia="仿宋_GB2312" w:cs="Times New Roman"/>
          <w:color w:val="000000"/>
          <w:kern w:val="2"/>
          <w:sz w:val="32"/>
          <w:szCs w:val="30"/>
          <w:lang w:val="en-US" w:eastAsia="zh-CN" w:bidi="ar-SA"/>
        </w:rPr>
        <w:t>2023</w:t>
      </w:r>
      <w:r>
        <w:rPr>
          <w:rFonts w:hint="eastAsia" w:ascii="仿宋" w:hAnsi="仿宋" w:eastAsia="仿宋" w:cs="仿宋"/>
          <w:sz w:val="32"/>
          <w:szCs w:val="32"/>
          <w:lang w:val="en-US" w:eastAsia="zh-CN"/>
        </w:rPr>
        <w:t>年为辖区内的</w:t>
      </w:r>
      <w:r>
        <w:rPr>
          <w:rFonts w:hint="eastAsia" w:ascii="Times New Roman" w:hAnsi="Times New Roman" w:eastAsia="仿宋_GB2312" w:cs="Times New Roman"/>
          <w:color w:val="000000"/>
          <w:kern w:val="2"/>
          <w:sz w:val="32"/>
          <w:szCs w:val="30"/>
          <w:lang w:val="en-US" w:eastAsia="zh-CN" w:bidi="ar-SA"/>
        </w:rPr>
        <w:t>3</w:t>
      </w:r>
      <w:r>
        <w:rPr>
          <w:rFonts w:hint="eastAsia" w:ascii="仿宋" w:hAnsi="仿宋" w:eastAsia="仿宋" w:cs="仿宋"/>
          <w:sz w:val="32"/>
          <w:szCs w:val="32"/>
          <w:lang w:val="en-US" w:eastAsia="zh-CN"/>
        </w:rPr>
        <w:t>家企业开展</w:t>
      </w:r>
      <w:r>
        <w:rPr>
          <w:rFonts w:hint="eastAsia" w:ascii="Times New Roman" w:hAnsi="Times New Roman" w:eastAsia="仿宋_GB2312" w:cs="Times New Roman"/>
          <w:color w:val="000000"/>
          <w:kern w:val="2"/>
          <w:sz w:val="32"/>
          <w:szCs w:val="30"/>
          <w:lang w:val="en-US" w:eastAsia="zh-CN" w:bidi="ar-SA"/>
        </w:rPr>
        <w:t>3</w:t>
      </w:r>
      <w:r>
        <w:rPr>
          <w:rFonts w:hint="eastAsia" w:ascii="仿宋" w:hAnsi="仿宋" w:eastAsia="仿宋" w:cs="仿宋"/>
          <w:sz w:val="32"/>
          <w:szCs w:val="32"/>
          <w:lang w:val="en-US" w:eastAsia="zh-CN"/>
        </w:rPr>
        <w:t>次《涉企犯罪的管理与风险防范》法治讲座。</w:t>
      </w:r>
      <w:r>
        <w:rPr>
          <w:rFonts w:hint="eastAsia" w:ascii="仿宋" w:hAnsi="仿宋" w:eastAsia="仿宋" w:cs="仿宋"/>
          <w:sz w:val="32"/>
          <w:szCs w:val="32"/>
        </w:rPr>
        <w:t>针对网络上关于儿童读物不规范出版的问题，通过调研走访</w:t>
      </w:r>
      <w:r>
        <w:rPr>
          <w:rFonts w:hint="eastAsia" w:ascii="仿宋" w:hAnsi="仿宋" w:eastAsia="仿宋" w:cs="仿宋"/>
          <w:sz w:val="32"/>
          <w:szCs w:val="32"/>
          <w:lang w:eastAsia="zh-CN"/>
        </w:rPr>
        <w:t>完成</w:t>
      </w:r>
      <w:r>
        <w:rPr>
          <w:rFonts w:hint="eastAsia" w:ascii="仿宋" w:hAnsi="仿宋" w:eastAsia="仿宋" w:cs="仿宋"/>
          <w:sz w:val="32"/>
          <w:szCs w:val="32"/>
        </w:rPr>
        <w:t>调研报告信息上报省院，相关信息得到</w:t>
      </w:r>
      <w:r>
        <w:rPr>
          <w:rFonts w:hint="eastAsia" w:ascii="仿宋" w:hAnsi="仿宋" w:eastAsia="仿宋" w:cs="仿宋"/>
          <w:sz w:val="32"/>
          <w:szCs w:val="32"/>
          <w:lang w:eastAsia="zh-CN"/>
        </w:rPr>
        <w:t>浙江</w:t>
      </w:r>
      <w:r>
        <w:rPr>
          <w:rFonts w:hint="eastAsia" w:ascii="仿宋" w:hAnsi="仿宋" w:eastAsia="仿宋" w:cs="仿宋"/>
          <w:sz w:val="32"/>
          <w:szCs w:val="32"/>
        </w:rPr>
        <w:t>省</w:t>
      </w:r>
      <w:r>
        <w:rPr>
          <w:rFonts w:hint="eastAsia" w:ascii="仿宋" w:hAnsi="仿宋" w:eastAsia="仿宋" w:cs="仿宋"/>
          <w:sz w:val="32"/>
          <w:szCs w:val="32"/>
          <w:lang w:eastAsia="zh-CN"/>
        </w:rPr>
        <w:t>人民检察院</w:t>
      </w:r>
      <w:r>
        <w:rPr>
          <w:rFonts w:hint="eastAsia" w:ascii="仿宋" w:hAnsi="仿宋" w:eastAsia="仿宋" w:cs="仿宋"/>
          <w:sz w:val="32"/>
          <w:szCs w:val="32"/>
        </w:rPr>
        <w:t>和</w:t>
      </w:r>
      <w:r>
        <w:rPr>
          <w:rFonts w:hint="eastAsia" w:ascii="仿宋" w:hAnsi="仿宋" w:eastAsia="仿宋" w:cs="仿宋"/>
          <w:sz w:val="32"/>
          <w:szCs w:val="32"/>
          <w:lang w:eastAsia="zh-CN"/>
        </w:rPr>
        <w:t>最高人民检察院</w:t>
      </w:r>
      <w:r>
        <w:rPr>
          <w:rFonts w:hint="eastAsia" w:ascii="仿宋" w:hAnsi="仿宋" w:eastAsia="仿宋" w:cs="仿宋"/>
          <w:sz w:val="32"/>
          <w:szCs w:val="32"/>
        </w:rPr>
        <w:t>的采用。</w:t>
      </w:r>
      <w:r>
        <w:rPr>
          <w:rFonts w:hint="eastAsia" w:ascii="仿宋" w:hAnsi="仿宋" w:eastAsia="仿宋" w:cs="仿宋"/>
          <w:sz w:val="32"/>
          <w:szCs w:val="32"/>
          <w:lang w:val="en-US" w:eastAsia="zh-CN"/>
        </w:rPr>
        <w:t>撰写开展打击治理洗钱专项活动实施方案并开展本院洗钱案件回头看专项评查活动；办理本院首件企业合规案件，推动涉罪企业完成合规建设，最终使企业得到从轻从宽处理；</w:t>
      </w:r>
      <w:r>
        <w:rPr>
          <w:rFonts w:hint="eastAsia" w:ascii="仿宋" w:hAnsi="仿宋" w:eastAsia="仿宋" w:cs="仿宋"/>
          <w:sz w:val="32"/>
          <w:szCs w:val="32"/>
          <w:lang w:eastAsia="zh-CN"/>
        </w:rPr>
        <w:t>针对高发的电信网络诈骗犯罪情况</w:t>
      </w:r>
      <w:r>
        <w:rPr>
          <w:rFonts w:hint="eastAsia" w:ascii="仿宋" w:hAnsi="仿宋" w:eastAsia="仿宋" w:cs="仿宋"/>
          <w:sz w:val="32"/>
          <w:szCs w:val="32"/>
          <w:lang w:val="en-US" w:eastAsia="zh-CN"/>
        </w:rPr>
        <w:t>为主撰写的课题《两卡黑灰产业链犯罪群现象洞察与罪名研究》、《电信网络诈骗及其关联犯罪的防范与治理》均获市级立项并已结项。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三年来注重司法办案的同时不断加强自身素能建设，稳步提升高效履职能力。参加温州市第三届未检业务竞赛并荣获未检业务能手称号；参加温州市论辩赛荣获温州市第五届检律辩论赛二等奖。</w:t>
      </w:r>
      <w:r>
        <w:rPr>
          <w:rFonts w:hint="eastAsia" w:ascii="Times New Roman" w:hAnsi="Times New Roman" w:eastAsia="仿宋_GB2312" w:cs="Times New Roman"/>
          <w:color w:val="000000"/>
          <w:kern w:val="2"/>
          <w:sz w:val="32"/>
          <w:szCs w:val="30"/>
          <w:lang w:val="en-US" w:eastAsia="zh-CN" w:bidi="ar-SA"/>
        </w:rPr>
        <w:t>2023</w:t>
      </w:r>
      <w:r>
        <w:rPr>
          <w:rFonts w:hint="eastAsia" w:ascii="仿宋" w:hAnsi="仿宋" w:eastAsia="仿宋" w:cs="仿宋"/>
          <w:sz w:val="32"/>
          <w:szCs w:val="32"/>
          <w:lang w:val="en-US" w:eastAsia="zh-CN"/>
        </w:rPr>
        <w:t>年抽调中央纪委办理中管干部职务犯罪案件，高质高效完成案件定性把握、取证需求提出、证据全面审查等各项任务。先后入选温州市检察机关优秀干部人才库、浙江省检察机关专业人才库，作为温州市检察机关刑事检察案件质量评查人员库人员完成全市交叉评查重点案件</w:t>
      </w:r>
      <w:r>
        <w:rPr>
          <w:rFonts w:hint="eastAsia" w:ascii="Times New Roman" w:hAnsi="Times New Roman" w:eastAsia="仿宋_GB2312" w:cs="Times New Roman"/>
          <w:color w:val="000000"/>
          <w:kern w:val="2"/>
          <w:sz w:val="32"/>
          <w:szCs w:val="30"/>
          <w:lang w:val="en-US" w:eastAsia="zh-CN" w:bidi="ar-SA"/>
        </w:rPr>
        <w:t>5</w:t>
      </w:r>
      <w:r>
        <w:rPr>
          <w:rFonts w:hint="eastAsia" w:ascii="仿宋" w:hAnsi="仿宋" w:eastAsia="仿宋" w:cs="仿宋"/>
          <w:sz w:val="32"/>
          <w:szCs w:val="32"/>
          <w:lang w:val="en-US" w:eastAsia="zh-CN"/>
        </w:rPr>
        <w:t>件。此外，先后获区委区政府嘉奖一次、</w:t>
      </w:r>
      <w:r>
        <w:rPr>
          <w:rFonts w:hint="eastAsia" w:ascii="Times New Roman" w:hAnsi="Times New Roman" w:eastAsia="仿宋_GB2312" w:cs="Times New Roman"/>
          <w:color w:val="000000"/>
          <w:kern w:val="2"/>
          <w:sz w:val="32"/>
          <w:szCs w:val="30"/>
          <w:lang w:val="en-US" w:eastAsia="zh-CN" w:bidi="ar-SA"/>
        </w:rPr>
        <w:t>2021</w:t>
      </w:r>
      <w:r>
        <w:rPr>
          <w:rFonts w:hint="eastAsia" w:ascii="仿宋" w:hAnsi="仿宋" w:eastAsia="仿宋" w:cs="仿宋"/>
          <w:sz w:val="32"/>
          <w:szCs w:val="32"/>
          <w:lang w:val="en-US" w:eastAsia="zh-CN"/>
        </w:rPr>
        <w:t>年龙湾区平安建设工作突出贡献个人、</w:t>
      </w:r>
      <w:r>
        <w:rPr>
          <w:rFonts w:hint="eastAsia" w:ascii="Times New Roman" w:hAnsi="Times New Roman" w:eastAsia="仿宋_GB2312" w:cs="Times New Roman"/>
          <w:color w:val="000000"/>
          <w:kern w:val="2"/>
          <w:sz w:val="32"/>
          <w:szCs w:val="30"/>
          <w:lang w:val="en-US" w:eastAsia="zh-CN" w:bidi="ar-SA"/>
        </w:rPr>
        <w:t>2022</w:t>
      </w:r>
      <w:r>
        <w:rPr>
          <w:rFonts w:hint="eastAsia" w:ascii="仿宋" w:hAnsi="仿宋" w:eastAsia="仿宋" w:cs="仿宋"/>
          <w:sz w:val="32"/>
          <w:szCs w:val="32"/>
          <w:lang w:val="en-US" w:eastAsia="zh-CN"/>
        </w:rPr>
        <w:t>年龙湾区第四季度及时奖励等荣誉。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仿宋" w:hAnsi="仿宋" w:eastAsia="仿宋" w:cs="仿宋"/>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Yjg2Yzc2NTI0OWNiMjQzNGQxMzVkMGI2ZWE5NWIifQ=="/>
  </w:docVars>
  <w:rsids>
    <w:rsidRoot w:val="00000000"/>
    <w:rsid w:val="00796A67"/>
    <w:rsid w:val="124949E7"/>
    <w:rsid w:val="1F003703"/>
    <w:rsid w:val="2A6034F9"/>
    <w:rsid w:val="300422D2"/>
    <w:rsid w:val="3ACE4142"/>
    <w:rsid w:val="3FDC1DC7"/>
    <w:rsid w:val="45126303"/>
    <w:rsid w:val="4FBC3E14"/>
    <w:rsid w:val="590C5634"/>
    <w:rsid w:val="62A86D6B"/>
    <w:rsid w:val="64694135"/>
    <w:rsid w:val="6DC7479F"/>
    <w:rsid w:val="769B350B"/>
    <w:rsid w:val="7731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Indent"/>
    <w:basedOn w:val="1"/>
    <w:next w:val="2"/>
    <w:qFormat/>
    <w:uiPriority w:val="0"/>
    <w:pPr>
      <w:ind w:firstLine="716" w:firstLineChars="162"/>
    </w:pPr>
    <w:rPr>
      <w:rFonts w:eastAsia="宋体"/>
      <w:b/>
      <w:bCs/>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left="200" w:firstLine="420" w:firstLineChars="200"/>
    </w:pPr>
    <w:rPr>
      <w:rFonts w:ascii="仿宋_GB2312" w:hAnsi="Calibri"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2020</Words>
  <Characters>2060</Characters>
  <Lines>0</Lines>
  <Paragraphs>0</Paragraphs>
  <TotalTime>1</TotalTime>
  <ScaleCrop>false</ScaleCrop>
  <LinksUpToDate>false</LinksUpToDate>
  <CharactersWithSpaces>2073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2024-05-30T10:44:00Z</dcterms:created>
  <dc:creator>user</dc:creator>
  <cp:lastModifiedBy>深谷幽蘭</cp:lastModifiedBy>
  <dcterms:modified xsi:type="dcterms:W3CDTF">2024-06-03T06:35:08Z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5DDED5068F3B4778B0D0C98D5808BE3C_12</vt:lpwstr>
  </property>
</Properties>
</file>