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rPr>
      </w:pPr>
      <w:r>
        <w:rPr>
          <w:rFonts w:hint="eastAsia" w:ascii="方正小标宋简体" w:hAnsi="方正小标宋简体" w:eastAsia="方正小标宋简体" w:cs="方正小标宋简体"/>
          <w:bCs/>
          <w:spacing w:val="15"/>
          <w:sz w:val="44"/>
          <w:szCs w:val="44"/>
        </w:rPr>
        <w:t>温州市龙湾区人民检察院</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val="en-US" w:eastAsia="zh-CN"/>
        </w:rPr>
        <w:t>2024</w:t>
      </w:r>
      <w:r>
        <w:rPr>
          <w:rFonts w:hint="eastAsia" w:ascii="方正小标宋简体" w:hAnsi="方正小标宋简体" w:eastAsia="方正小标宋简体" w:cs="方正小标宋简体"/>
          <w:bCs/>
          <w:spacing w:val="15"/>
          <w:sz w:val="44"/>
          <w:szCs w:val="44"/>
          <w:highlight w:val="none"/>
        </w:rPr>
        <w:t>年部门预算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89" w:firstLineChars="196"/>
        <w:textAlignment w:val="auto"/>
        <w:outlineLvl w:val="9"/>
        <w:rPr>
          <w:rStyle w:val="5"/>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5"/>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600" w:lineRule="exact"/>
        <w:ind w:right="0" w:rightChars="0" w:firstLine="627" w:firstLineChars="196"/>
        <w:jc w:val="center"/>
        <w:textAlignment w:val="auto"/>
        <w:outlineLvl w:val="9"/>
        <w:rPr>
          <w:rStyle w:val="5"/>
          <w:rFonts w:hint="eastAsia" w:ascii="黑体" w:eastAsia="黑体"/>
          <w:b w:val="0"/>
          <w:color w:val="000000"/>
          <w:sz w:val="32"/>
          <w:szCs w:val="32"/>
          <w:highlight w:val="none"/>
          <w:lang w:eastAsia="zh-CN"/>
        </w:rPr>
      </w:pPr>
      <w:bookmarkStart w:id="0" w:name="_GoBack"/>
      <w:bookmarkEnd w:id="0"/>
      <w:r>
        <w:rPr>
          <w:rStyle w:val="5"/>
          <w:rFonts w:hint="eastAsia" w:ascii="黑体" w:eastAsia="黑体"/>
          <w:b w:val="0"/>
          <w:color w:val="000000"/>
          <w:sz w:val="32"/>
          <w:szCs w:val="32"/>
          <w:highlight w:val="none"/>
          <w:lang w:eastAsia="zh-CN"/>
        </w:rPr>
        <w:t>目录</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textAlignment w:val="auto"/>
        <w:outlineLvl w:val="9"/>
        <w:rPr>
          <w:rFonts w:hint="eastAsia" w:ascii="Times New Roman" w:hAnsi="Times New Roman" w:eastAsia="黑体"/>
          <w:sz w:val="32"/>
          <w:highlight w:val="none"/>
          <w:lang w:eastAsia="zh-CN"/>
        </w:rPr>
      </w:pPr>
      <w:r>
        <w:rPr>
          <w:rFonts w:hint="eastAsia" w:ascii="黑体" w:eastAsia="黑体"/>
          <w:color w:val="000000"/>
          <w:sz w:val="32"/>
          <w:highlight w:val="none"/>
        </w:rPr>
        <w:t>一、</w:t>
      </w:r>
      <w:r>
        <w:rPr>
          <w:rStyle w:val="5"/>
          <w:rFonts w:hint="eastAsia" w:ascii="黑体" w:eastAsia="黑体"/>
          <w:b w:val="0"/>
          <w:color w:val="000000"/>
          <w:sz w:val="32"/>
          <w:szCs w:val="32"/>
          <w:highlight w:val="none"/>
          <w:lang w:eastAsia="zh-CN"/>
        </w:rPr>
        <w:t>部门</w:t>
      </w:r>
      <w:r>
        <w:rPr>
          <w:rStyle w:val="5"/>
          <w:rFonts w:hint="eastAsia" w:ascii="黑体" w:eastAsia="黑体"/>
          <w:b w:val="0"/>
          <w:color w:val="000000"/>
          <w:sz w:val="32"/>
          <w:szCs w:val="32"/>
          <w:highlight w:val="none"/>
        </w:rPr>
        <w:t>概况</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textAlignment w:val="auto"/>
        <w:outlineLvl w:val="9"/>
        <w:rPr>
          <w:rStyle w:val="5"/>
          <w:rFonts w:hint="eastAsia" w:ascii="黑体" w:eastAsia="黑体"/>
          <w:b w:val="0"/>
          <w:color w:val="000000"/>
          <w:sz w:val="32"/>
          <w:szCs w:val="32"/>
          <w:highlight w:val="none"/>
          <w:lang w:eastAsia="zh-CN"/>
        </w:rPr>
      </w:pPr>
      <w:r>
        <w:rPr>
          <w:rStyle w:val="5"/>
          <w:rFonts w:hint="eastAsia" w:ascii="黑体" w:eastAsia="黑体"/>
          <w:b w:val="0"/>
          <w:color w:val="000000"/>
          <w:sz w:val="32"/>
          <w:szCs w:val="32"/>
          <w:highlight w:val="none"/>
          <w:lang w:eastAsia="zh-CN"/>
        </w:rPr>
        <w:t>二、</w:t>
      </w:r>
      <w:r>
        <w:rPr>
          <w:rStyle w:val="5"/>
          <w:rFonts w:hint="eastAsia" w:ascii="黑体" w:eastAsia="黑体"/>
          <w:b w:val="0"/>
          <w:color w:val="000000"/>
          <w:sz w:val="32"/>
          <w:szCs w:val="32"/>
          <w:highlight w:val="none"/>
          <w:lang w:val="en-US" w:eastAsia="zh-CN"/>
        </w:rPr>
        <w:t>2024</w:t>
      </w:r>
      <w:r>
        <w:rPr>
          <w:rStyle w:val="5"/>
          <w:rFonts w:hint="eastAsia" w:ascii="黑体" w:eastAsia="黑体"/>
          <w:b w:val="0"/>
          <w:color w:val="000000"/>
          <w:sz w:val="32"/>
          <w:szCs w:val="32"/>
          <w:highlight w:val="none"/>
        </w:rPr>
        <w:t>年</w:t>
      </w:r>
      <w:r>
        <w:rPr>
          <w:rStyle w:val="5"/>
          <w:rFonts w:hint="eastAsia" w:ascii="黑体" w:eastAsia="黑体"/>
          <w:b w:val="0"/>
          <w:color w:val="000000"/>
          <w:sz w:val="32"/>
          <w:szCs w:val="32"/>
        </w:rPr>
        <w:t>温州市龙湾区人民检察院</w:t>
      </w:r>
      <w:r>
        <w:rPr>
          <w:rStyle w:val="5"/>
          <w:rFonts w:hint="eastAsia" w:ascii="黑体" w:eastAsia="黑体"/>
          <w:b w:val="0"/>
          <w:color w:val="000000"/>
          <w:sz w:val="32"/>
          <w:szCs w:val="32"/>
          <w:highlight w:val="none"/>
        </w:rPr>
        <w:t>部门预算安排情况说明</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rPr>
        <w:t>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rPr>
        <w:t>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rPr>
        <w:t>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rPr>
        <w:t>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w:t>
      </w:r>
      <w:r>
        <w:rPr>
          <w:rFonts w:hint="eastAsia" w:ascii="楷体_GB2312" w:hAnsi="楷体_GB2312" w:eastAsia="楷体_GB2312" w:cs="楷体_GB2312"/>
          <w:b w:val="0"/>
          <w:bCs/>
          <w:sz w:val="32"/>
          <w:szCs w:val="32"/>
          <w:highlight w:val="none"/>
        </w:rPr>
        <w:t>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rPr>
        <w:t>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w:t>
      </w:r>
      <w:r>
        <w:rPr>
          <w:rFonts w:hint="eastAsia" w:ascii="楷体_GB2312" w:hAnsi="楷体_GB2312" w:eastAsia="楷体_GB2312" w:cs="楷体_GB2312"/>
          <w:b w:val="0"/>
          <w:bCs/>
          <w:sz w:val="32"/>
          <w:szCs w:val="32"/>
          <w:highlight w:val="none"/>
        </w:rPr>
        <w:t>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w:t>
      </w:r>
      <w:r>
        <w:rPr>
          <w:rFonts w:hint="eastAsia" w:ascii="楷体_GB2312" w:hAnsi="楷体_GB2312" w:eastAsia="楷体_GB2312" w:cs="楷体_GB2312"/>
          <w:b w:val="0"/>
          <w:bCs/>
          <w:sz w:val="32"/>
          <w:szCs w:val="32"/>
          <w:highlight w:val="none"/>
        </w:rPr>
        <w:t>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w:t>
      </w:r>
      <w:r>
        <w:rPr>
          <w:rFonts w:hint="eastAsia" w:ascii="楷体_GB2312" w:hAnsi="楷体_GB2312" w:eastAsia="楷体_GB2312" w:cs="楷体_GB2312"/>
          <w:b w:val="0"/>
          <w:bCs/>
          <w:sz w:val="32"/>
          <w:szCs w:val="32"/>
          <w:highlight w:val="none"/>
        </w:rPr>
        <w:t>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6"/>
        <w:keepNext w:val="0"/>
        <w:keepLines w:val="0"/>
        <w:pageBreakBefore w:val="0"/>
        <w:kinsoku/>
        <w:wordWrap/>
        <w:overflowPunct/>
        <w:topLinePunct w:val="0"/>
        <w:autoSpaceDE/>
        <w:autoSpaceDN/>
        <w:bidi w:val="0"/>
        <w:adjustRightInd/>
        <w:snapToGrid/>
        <w:spacing w:beforeLines="0" w:afterLines="0" w:line="600" w:lineRule="exact"/>
        <w:ind w:right="0" w:rightChars="0"/>
        <w:textAlignment w:val="auto"/>
        <w:outlineLvl w:val="9"/>
        <w:rPr>
          <w:rStyle w:val="5"/>
          <w:rFonts w:hint="eastAsia" w:ascii="黑体" w:hAnsi="Calibri" w:eastAsia="黑体" w:cs="Times New Roman"/>
          <w:b w:val="0"/>
          <w:color w:val="000000"/>
          <w:kern w:val="2"/>
          <w:sz w:val="32"/>
          <w:szCs w:val="32"/>
          <w:highlight w:val="none"/>
          <w:lang w:val="en-US" w:eastAsia="zh-CN" w:bidi="ar-SA"/>
        </w:rPr>
      </w:pPr>
      <w:r>
        <w:rPr>
          <w:rStyle w:val="5"/>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textAlignment w:val="auto"/>
        <w:outlineLvl w:val="9"/>
        <w:rPr>
          <w:rStyle w:val="5"/>
          <w:rFonts w:hint="eastAsia" w:ascii="黑体" w:eastAsia="黑体"/>
          <w:b w:val="0"/>
          <w:color w:val="000000"/>
          <w:sz w:val="32"/>
          <w:szCs w:val="32"/>
          <w:highlight w:val="none"/>
          <w:lang w:eastAsia="zh-CN"/>
        </w:rPr>
      </w:pPr>
      <w:r>
        <w:rPr>
          <w:rStyle w:val="5"/>
          <w:rFonts w:hint="eastAsia" w:ascii="黑体" w:eastAsia="黑体"/>
          <w:b w:val="0"/>
          <w:color w:val="000000"/>
          <w:sz w:val="32"/>
          <w:szCs w:val="32"/>
          <w:highlight w:val="none"/>
          <w:lang w:eastAsia="zh-CN"/>
        </w:rPr>
        <w:t>四、</w:t>
      </w:r>
      <w:r>
        <w:rPr>
          <w:rStyle w:val="5"/>
          <w:rFonts w:hint="eastAsia" w:ascii="黑体" w:eastAsia="黑体"/>
          <w:b w:val="0"/>
          <w:color w:val="000000"/>
          <w:sz w:val="32"/>
          <w:szCs w:val="32"/>
          <w:highlight w:val="none"/>
          <w:lang w:val="en-US" w:eastAsia="zh-CN"/>
        </w:rPr>
        <w:t>2024</w:t>
      </w:r>
      <w:r>
        <w:rPr>
          <w:rStyle w:val="5"/>
          <w:rFonts w:hint="eastAsia" w:ascii="黑体" w:eastAsia="黑体"/>
          <w:b w:val="0"/>
          <w:color w:val="000000"/>
          <w:sz w:val="32"/>
          <w:szCs w:val="32"/>
          <w:highlight w:val="none"/>
        </w:rPr>
        <w:t>年</w:t>
      </w:r>
      <w:r>
        <w:rPr>
          <w:rStyle w:val="5"/>
          <w:rFonts w:hint="eastAsia" w:ascii="黑体" w:eastAsia="黑体" w:hAnsiTheme="minorHAnsi" w:cstheme="minorBidi"/>
          <w:b w:val="0"/>
          <w:color w:val="000000"/>
          <w:sz w:val="32"/>
          <w:szCs w:val="32"/>
          <w:highlight w:val="none"/>
          <w:lang w:eastAsia="zh-CN"/>
        </w:rPr>
        <w:t>温州市龙湾区人民检察院</w:t>
      </w:r>
      <w:r>
        <w:rPr>
          <w:rStyle w:val="5"/>
          <w:rFonts w:hint="eastAsia" w:ascii="黑体" w:eastAsia="黑体"/>
          <w:b w:val="0"/>
          <w:color w:val="000000"/>
          <w:sz w:val="32"/>
          <w:szCs w:val="32"/>
          <w:highlight w:val="none"/>
        </w:rPr>
        <w:t>部门</w:t>
      </w:r>
      <w:r>
        <w:rPr>
          <w:rStyle w:val="5"/>
          <w:rFonts w:hint="eastAsia" w:ascii="黑体" w:eastAsia="黑体"/>
          <w:b w:val="0"/>
          <w:color w:val="000000"/>
          <w:sz w:val="32"/>
          <w:szCs w:val="32"/>
          <w:highlight w:val="none"/>
          <w:lang w:eastAsia="zh-CN"/>
        </w:rPr>
        <w:t>预算表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收支预算总表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收入预算总表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支出预算总表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财政拨款收支预算总表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一般公共预算支出表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一般公共预算基本支出表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一般公共预算“三公”经费支出表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政府性基金预算支出表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国有资本经营预算支出表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（十）2024年区级</w:t>
      </w:r>
      <w:r>
        <w:rPr>
          <w:rFonts w:hint="eastAsia" w:ascii="楷体_GB2312" w:hAnsi="楷体_GB2312" w:eastAsia="楷体_GB2312" w:cs="楷体_GB2312"/>
          <w:b w:val="0"/>
          <w:bCs/>
          <w:sz w:val="32"/>
          <w:szCs w:val="32"/>
          <w:highlight w:val="none"/>
        </w:rPr>
        <w:t>部门</w:t>
      </w:r>
      <w:r>
        <w:rPr>
          <w:rFonts w:hint="eastAsia" w:ascii="楷体_GB2312" w:hAnsi="楷体_GB2312" w:eastAsia="楷体_GB2312" w:cs="楷体_GB2312"/>
          <w:b w:val="0"/>
          <w:bCs/>
          <w:sz w:val="32"/>
          <w:szCs w:val="32"/>
          <w:highlight w:val="none"/>
          <w:lang w:val="en-US" w:eastAsia="zh-CN"/>
        </w:rPr>
        <w:t>项目支出预算表</w:t>
      </w:r>
    </w:p>
    <w:p>
      <w:pPr>
        <w:keepNext w:val="0"/>
        <w:keepLines w:val="0"/>
        <w:pageBreakBefore w:val="0"/>
        <w:kinsoku/>
        <w:wordWrap/>
        <w:overflowPunct/>
        <w:topLinePunct w:val="0"/>
        <w:autoSpaceDE w:val="0"/>
        <w:autoSpaceDN w:val="0"/>
        <w:bidi w:val="0"/>
        <w:adjustRightInd w:val="0"/>
        <w:snapToGrid/>
        <w:spacing w:line="600" w:lineRule="exact"/>
        <w:ind w:leftChars="200"/>
        <w:jc w:val="left"/>
        <w:textAlignment w:val="auto"/>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（十一）2024年区级部门项目支出绩效表</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firstLine="627" w:firstLineChars="196"/>
        <w:textAlignment w:val="auto"/>
        <w:outlineLvl w:val="9"/>
        <w:rPr>
          <w:rStyle w:val="5"/>
          <w:rFonts w:hint="eastAsia" w:ascii="黑体" w:eastAsia="黑体"/>
          <w:b w:val="0"/>
          <w:color w:val="000000"/>
          <w:sz w:val="32"/>
          <w:szCs w:val="32"/>
          <w:highlight w:val="none"/>
        </w:rPr>
      </w:pPr>
    </w:p>
    <w:p>
      <w:pPr>
        <w:pStyle w:val="7"/>
        <w:keepNext w:val="0"/>
        <w:keepLines w:val="0"/>
        <w:pageBreakBefore w:val="0"/>
        <w:kinsoku/>
        <w:wordWrap/>
        <w:overflowPunct/>
        <w:topLinePunct w:val="0"/>
        <w:bidi w:val="0"/>
        <w:snapToGrid/>
        <w:spacing w:line="600" w:lineRule="exact"/>
        <w:textAlignment w:val="auto"/>
        <w:rPr>
          <w:rStyle w:val="5"/>
          <w:rFonts w:hint="eastAsia" w:ascii="黑体" w:eastAsia="黑体"/>
          <w:b w:val="0"/>
          <w:color w:val="000000"/>
          <w:sz w:val="32"/>
          <w:szCs w:val="32"/>
          <w:highlight w:val="none"/>
        </w:rPr>
      </w:pPr>
    </w:p>
    <w:p>
      <w:pPr>
        <w:pStyle w:val="7"/>
        <w:keepNext w:val="0"/>
        <w:keepLines w:val="0"/>
        <w:pageBreakBefore w:val="0"/>
        <w:kinsoku/>
        <w:wordWrap/>
        <w:overflowPunct/>
        <w:topLinePunct w:val="0"/>
        <w:bidi w:val="0"/>
        <w:snapToGrid/>
        <w:spacing w:line="600" w:lineRule="exact"/>
        <w:textAlignment w:val="auto"/>
        <w:rPr>
          <w:rStyle w:val="5"/>
          <w:rFonts w:hint="eastAsia" w:ascii="黑体" w:eastAsia="黑体"/>
          <w:b w:val="0"/>
          <w:color w:val="000000"/>
          <w:sz w:val="32"/>
          <w:szCs w:val="32"/>
          <w:highlight w:val="none"/>
        </w:rPr>
      </w:pPr>
    </w:p>
    <w:p>
      <w:pPr>
        <w:pStyle w:val="7"/>
        <w:keepNext w:val="0"/>
        <w:keepLines w:val="0"/>
        <w:pageBreakBefore w:val="0"/>
        <w:kinsoku/>
        <w:wordWrap/>
        <w:overflowPunct/>
        <w:topLinePunct w:val="0"/>
        <w:bidi w:val="0"/>
        <w:snapToGrid/>
        <w:spacing w:line="600" w:lineRule="exact"/>
        <w:textAlignment w:val="auto"/>
        <w:rPr>
          <w:rStyle w:val="5"/>
          <w:rFonts w:hint="eastAsia" w:ascii="黑体" w:eastAsia="黑体"/>
          <w:b w:val="0"/>
          <w:color w:val="000000"/>
          <w:sz w:val="32"/>
          <w:szCs w:val="32"/>
          <w:highlight w:val="none"/>
        </w:rPr>
      </w:pPr>
    </w:p>
    <w:p>
      <w:pPr>
        <w:pStyle w:val="7"/>
        <w:keepNext w:val="0"/>
        <w:keepLines w:val="0"/>
        <w:pageBreakBefore w:val="0"/>
        <w:kinsoku/>
        <w:wordWrap/>
        <w:overflowPunct/>
        <w:topLinePunct w:val="0"/>
        <w:bidi w:val="0"/>
        <w:snapToGrid/>
        <w:spacing w:line="600" w:lineRule="exact"/>
        <w:textAlignment w:val="auto"/>
        <w:rPr>
          <w:rStyle w:val="5"/>
          <w:rFonts w:hint="eastAsia" w:ascii="黑体" w:eastAsia="黑体"/>
          <w:b w:val="0"/>
          <w:color w:val="000000"/>
          <w:sz w:val="32"/>
          <w:szCs w:val="32"/>
          <w:highlight w:val="none"/>
        </w:rPr>
      </w:pPr>
    </w:p>
    <w:p>
      <w:pPr>
        <w:pStyle w:val="7"/>
        <w:keepNext w:val="0"/>
        <w:keepLines w:val="0"/>
        <w:pageBreakBefore w:val="0"/>
        <w:kinsoku/>
        <w:wordWrap/>
        <w:overflowPunct/>
        <w:topLinePunct w:val="0"/>
        <w:bidi w:val="0"/>
        <w:snapToGrid/>
        <w:spacing w:line="600" w:lineRule="exact"/>
        <w:textAlignment w:val="auto"/>
        <w:rPr>
          <w:rStyle w:val="5"/>
          <w:rFonts w:hint="eastAsia" w:ascii="黑体" w:eastAsia="黑体"/>
          <w:b w:val="0"/>
          <w:color w:val="000000"/>
          <w:sz w:val="32"/>
          <w:szCs w:val="32"/>
          <w:highlight w:val="none"/>
        </w:rPr>
      </w:pPr>
    </w:p>
    <w:p>
      <w:pPr>
        <w:pStyle w:val="7"/>
        <w:keepNext w:val="0"/>
        <w:keepLines w:val="0"/>
        <w:pageBreakBefore w:val="0"/>
        <w:kinsoku/>
        <w:wordWrap/>
        <w:overflowPunct/>
        <w:topLinePunct w:val="0"/>
        <w:bidi w:val="0"/>
        <w:snapToGrid/>
        <w:spacing w:line="600" w:lineRule="exact"/>
        <w:textAlignment w:val="auto"/>
        <w:rPr>
          <w:rStyle w:val="5"/>
          <w:rFonts w:hint="eastAsia" w:ascii="黑体" w:eastAsia="黑体"/>
          <w:b w:val="0"/>
          <w:color w:val="000000"/>
          <w:sz w:val="32"/>
          <w:szCs w:val="32"/>
          <w:highlight w:val="none"/>
        </w:rPr>
      </w:pPr>
    </w:p>
    <w:p>
      <w:pPr>
        <w:pStyle w:val="7"/>
        <w:keepNext w:val="0"/>
        <w:keepLines w:val="0"/>
        <w:pageBreakBefore w:val="0"/>
        <w:kinsoku/>
        <w:wordWrap/>
        <w:overflowPunct/>
        <w:topLinePunct w:val="0"/>
        <w:bidi w:val="0"/>
        <w:snapToGrid/>
        <w:spacing w:line="600" w:lineRule="exact"/>
        <w:textAlignment w:val="auto"/>
        <w:rPr>
          <w:rStyle w:val="5"/>
          <w:rFonts w:hint="eastAsia" w:ascii="黑体" w:eastAsia="黑体"/>
          <w:b w:val="0"/>
          <w:color w:val="000000"/>
          <w:sz w:val="32"/>
          <w:szCs w:val="32"/>
          <w:highlight w:val="none"/>
        </w:rPr>
      </w:pPr>
    </w:p>
    <w:p>
      <w:pPr>
        <w:pStyle w:val="7"/>
        <w:keepNext w:val="0"/>
        <w:keepLines w:val="0"/>
        <w:pageBreakBefore w:val="0"/>
        <w:kinsoku/>
        <w:wordWrap/>
        <w:overflowPunct/>
        <w:topLinePunct w:val="0"/>
        <w:bidi w:val="0"/>
        <w:snapToGrid/>
        <w:spacing w:line="600" w:lineRule="exact"/>
        <w:textAlignment w:val="auto"/>
        <w:rPr>
          <w:rStyle w:val="5"/>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beforeLines="0" w:afterLines="0" w:line="600" w:lineRule="exact"/>
        <w:ind w:right="0" w:rightChars="0" w:firstLine="627" w:firstLineChars="196"/>
        <w:textAlignment w:val="auto"/>
        <w:outlineLvl w:val="9"/>
        <w:rPr>
          <w:rStyle w:val="5"/>
          <w:rFonts w:hint="eastAsia" w:ascii="黑体" w:eastAsia="黑体"/>
          <w:b w:val="0"/>
          <w:color w:val="000000"/>
          <w:sz w:val="32"/>
          <w:szCs w:val="32"/>
          <w:highlight w:val="none"/>
        </w:rPr>
      </w:pPr>
      <w:r>
        <w:rPr>
          <w:rStyle w:val="5"/>
          <w:rFonts w:hint="eastAsia" w:ascii="黑体" w:eastAsia="黑体"/>
          <w:b w:val="0"/>
          <w:color w:val="000000"/>
          <w:sz w:val="32"/>
          <w:szCs w:val="32"/>
          <w:highlight w:val="none"/>
        </w:rPr>
        <w:t>一、</w:t>
      </w:r>
      <w:r>
        <w:rPr>
          <w:rStyle w:val="5"/>
          <w:rFonts w:hint="eastAsia" w:ascii="黑体" w:eastAsia="黑体"/>
          <w:b w:val="0"/>
          <w:color w:val="000000"/>
          <w:sz w:val="32"/>
          <w:szCs w:val="32"/>
          <w:highlight w:val="none"/>
          <w:lang w:eastAsia="zh-CN"/>
        </w:rPr>
        <w:t>部门</w:t>
      </w:r>
      <w:r>
        <w:rPr>
          <w:rStyle w:val="5"/>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spacing w:line="520" w:lineRule="exact"/>
        <w:ind w:firstLine="642"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温州市龙湾区人民检察院是国家法律监督机关，履行法律监督职能。</w:t>
      </w:r>
    </w:p>
    <w:p>
      <w:pPr>
        <w:spacing w:line="520" w:lineRule="exact"/>
        <w:ind w:firstLine="642"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对于直接受理的刑事案件，进行侦查。</w:t>
      </w:r>
    </w:p>
    <w:p>
      <w:pPr>
        <w:spacing w:line="520" w:lineRule="exact"/>
        <w:ind w:firstLine="642"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对于公安机关、国家安全、海关等部门侦查的案件，进行审查，决定是否逮捕、起诉或者免予起诉。</w:t>
      </w:r>
    </w:p>
    <w:p>
      <w:pPr>
        <w:spacing w:line="520" w:lineRule="exact"/>
        <w:ind w:firstLine="642"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对于公安机关的侦查活动是否合法，实行监督。</w:t>
      </w:r>
    </w:p>
    <w:p>
      <w:pPr>
        <w:spacing w:line="520" w:lineRule="exact"/>
        <w:ind w:firstLine="642"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对于刑事案件提起公诉，支持公诉。</w:t>
      </w:r>
    </w:p>
    <w:p>
      <w:pPr>
        <w:spacing w:line="520" w:lineRule="exact"/>
        <w:ind w:firstLine="642"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对于人民法院的审判活动是否合法，实行监督。</w:t>
      </w:r>
    </w:p>
    <w:p>
      <w:pPr>
        <w:spacing w:line="520" w:lineRule="exact"/>
        <w:ind w:firstLine="642"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对于刑事案件判决、裁定的执行和监狱、看守所、劳动改造机关的活动是否合法，实行监督。</w:t>
      </w:r>
    </w:p>
    <w:p>
      <w:pPr>
        <w:spacing w:line="520" w:lineRule="exact"/>
        <w:ind w:firstLine="642" w:firstLineChars="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依法保障公民对于违法的国家工作人员提出控告的权利，追究侵犯公民的人身权利、民主权利和其他权利的人的法律责任。</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outlineLvl w:val="9"/>
        <w:rPr>
          <w:rStyle w:val="5"/>
          <w:rFonts w:hint="eastAsia" w:ascii="黑体" w:eastAsia="黑体"/>
          <w:b w:val="0"/>
          <w:color w:val="000000"/>
          <w:sz w:val="32"/>
          <w:szCs w:val="32"/>
          <w:highlight w:val="none"/>
          <w:lang w:val="en-US" w:eastAsia="zh-CN"/>
        </w:rPr>
      </w:pPr>
      <w:r>
        <w:rPr>
          <w:rFonts w:hint="eastAsia" w:ascii="仿宋_GB2312" w:eastAsia="仿宋_GB2312"/>
          <w:color w:val="000000"/>
          <w:sz w:val="32"/>
          <w:szCs w:val="32"/>
        </w:rPr>
        <w:t>从预算单位构成看，温州市龙湾区人民检察院部门预算包括：本级预算、下属龙湾区检察院检察事务管理中心和下属龙湾区执法信息中心预算（非独立核算）。</w:t>
      </w:r>
      <w:r>
        <w:rPr>
          <w:rStyle w:val="5"/>
          <w:rFonts w:hint="eastAsia" w:ascii="黑体" w:eastAsia="黑体"/>
          <w:b w:val="0"/>
          <w:color w:val="000000"/>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320" w:firstLineChars="100"/>
        <w:textAlignment w:val="auto"/>
        <w:outlineLvl w:val="9"/>
        <w:rPr>
          <w:rFonts w:hint="eastAsia" w:ascii="楷体_GB2312" w:hAnsi="楷体_GB2312" w:eastAsia="楷体_GB2312" w:cs="楷体_GB2312"/>
          <w:b w:val="0"/>
          <w:bCs w:val="0"/>
          <w:color w:val="000000"/>
          <w:sz w:val="32"/>
          <w:szCs w:val="32"/>
          <w:highlight w:val="none"/>
        </w:rPr>
      </w:pPr>
      <w:r>
        <w:rPr>
          <w:rStyle w:val="5"/>
          <w:rFonts w:hint="eastAsia" w:ascii="黑体" w:eastAsia="黑体"/>
          <w:b w:val="0"/>
          <w:color w:val="000000"/>
          <w:sz w:val="32"/>
          <w:szCs w:val="32"/>
          <w:highlight w:val="none"/>
          <w:lang w:val="en-US" w:eastAsia="zh-CN"/>
        </w:rPr>
        <w:t xml:space="preserve">   </w:t>
      </w:r>
      <w:r>
        <w:rPr>
          <w:rStyle w:val="5"/>
          <w:rFonts w:hint="eastAsia" w:ascii="黑体" w:eastAsia="黑体"/>
          <w:b w:val="0"/>
          <w:color w:val="000000"/>
          <w:sz w:val="32"/>
          <w:szCs w:val="32"/>
          <w:highlight w:val="none"/>
          <w:lang w:eastAsia="zh-CN"/>
        </w:rPr>
        <w:t>二、</w:t>
      </w:r>
      <w:r>
        <w:rPr>
          <w:rStyle w:val="5"/>
          <w:rFonts w:hint="eastAsia" w:ascii="黑体" w:eastAsia="黑体"/>
          <w:b w:val="0"/>
          <w:color w:val="000000"/>
          <w:sz w:val="32"/>
          <w:szCs w:val="32"/>
          <w:highlight w:val="none"/>
          <w:lang w:val="en-US" w:eastAsia="zh-CN"/>
        </w:rPr>
        <w:t>2024</w:t>
      </w:r>
      <w:r>
        <w:rPr>
          <w:rStyle w:val="5"/>
          <w:rFonts w:hint="eastAsia" w:ascii="黑体" w:eastAsia="黑体"/>
          <w:b w:val="0"/>
          <w:color w:val="000000"/>
          <w:sz w:val="32"/>
          <w:szCs w:val="32"/>
          <w:highlight w:val="none"/>
        </w:rPr>
        <w:t>年</w:t>
      </w:r>
      <w:r>
        <w:rPr>
          <w:rStyle w:val="5"/>
          <w:rFonts w:hint="eastAsia" w:ascii="黑体" w:eastAsia="黑体"/>
          <w:b w:val="0"/>
          <w:color w:val="000000"/>
          <w:sz w:val="32"/>
          <w:szCs w:val="32"/>
        </w:rPr>
        <w:t>温州市龙湾区人民检察院</w:t>
      </w:r>
      <w:r>
        <w:rPr>
          <w:rStyle w:val="5"/>
          <w:rFonts w:hint="eastAsia" w:ascii="黑体" w:eastAsia="黑体"/>
          <w:b w:val="0"/>
          <w:color w:val="000000"/>
          <w:sz w:val="32"/>
          <w:szCs w:val="32"/>
          <w:highlight w:val="none"/>
        </w:rPr>
        <w:t>部门预算安排情况说明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Fonts w:hint="eastAsia" w:ascii="仿宋_GB2312" w:eastAsia="仿宋_GB2312"/>
          <w:color w:val="000000"/>
          <w:sz w:val="32"/>
          <w:szCs w:val="32"/>
        </w:rPr>
        <w:t>温州市龙湾区人民检察院</w:t>
      </w:r>
      <w:r>
        <w:rPr>
          <w:rStyle w:val="5"/>
          <w:rFonts w:hint="eastAsia" w:ascii="楷体_GB2312" w:hAnsi="楷体_GB2312" w:eastAsia="楷体_GB2312" w:cs="楷体_GB2312"/>
          <w:b w:val="0"/>
          <w:bCs w:val="0"/>
          <w:color w:val="000000"/>
          <w:sz w:val="32"/>
          <w:szCs w:val="32"/>
          <w:highlight w:val="none"/>
          <w:lang w:val="en-US" w:eastAsia="zh-CN"/>
        </w:rPr>
        <w:t>2024</w:t>
      </w:r>
      <w:r>
        <w:rPr>
          <w:rStyle w:val="5"/>
          <w:rFonts w:hint="eastAsia" w:ascii="楷体_GB2312" w:hAnsi="楷体_GB2312" w:eastAsia="楷体_GB2312" w:cs="楷体_GB2312"/>
          <w:b w:val="0"/>
          <w:bCs w:val="0"/>
          <w:color w:val="000000"/>
          <w:sz w:val="32"/>
          <w:szCs w:val="32"/>
          <w:highlight w:val="none"/>
        </w:rPr>
        <w:t>年</w:t>
      </w:r>
      <w:r>
        <w:rPr>
          <w:rStyle w:val="5"/>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olor w:val="000000"/>
          <w:sz w:val="32"/>
          <w:szCs w:val="32"/>
        </w:rPr>
        <w:t>温州市龙湾区人民检察院</w:t>
      </w:r>
      <w:r>
        <w:rPr>
          <w:rFonts w:hint="eastAsia" w:ascii="仿宋_GB2312" w:eastAsia="仿宋_GB2312"/>
          <w:color w:val="000000"/>
          <w:sz w:val="32"/>
          <w:szCs w:val="32"/>
          <w:highlight w:val="none"/>
          <w:lang w:eastAsia="zh-CN"/>
        </w:rPr>
        <w:t>所有收入和支出均纳入部门预算管理。收入包括：一般公共预算收入、上年结转</w:t>
      </w:r>
      <w:r>
        <w:rPr>
          <w:rFonts w:hint="eastAsia" w:ascii="仿宋_GB2312" w:eastAsia="仿宋_GB2312"/>
          <w:color w:val="000000"/>
          <w:sz w:val="32"/>
          <w:szCs w:val="32"/>
          <w:highlight w:val="none"/>
          <w:lang w:val="en-US" w:eastAsia="zh-CN"/>
        </w:rPr>
        <w:t>结余</w:t>
      </w:r>
      <w:r>
        <w:rPr>
          <w:rFonts w:hint="eastAsia" w:ascii="仿宋_GB2312" w:eastAsia="仿宋_GB2312"/>
          <w:color w:val="000000"/>
          <w:sz w:val="32"/>
          <w:szCs w:val="32"/>
          <w:highlight w:val="none"/>
          <w:lang w:eastAsia="zh-CN"/>
        </w:rPr>
        <w:t>；支出包括：一般公共服务支出、公共安全支出、科学技术支出、社会保障和就业支出、卫生健康支出、住房保障支出。</w:t>
      </w:r>
      <w:r>
        <w:rPr>
          <w:rFonts w:hint="eastAsia" w:ascii="仿宋_GB2312" w:eastAsia="仿宋_GB2312"/>
          <w:color w:val="000000"/>
          <w:sz w:val="32"/>
          <w:szCs w:val="32"/>
        </w:rPr>
        <w:t>温州市龙湾区人民检察院</w:t>
      </w:r>
      <w:r>
        <w:rPr>
          <w:rFonts w:hint="eastAsia" w:ascii="仿宋_GB2312" w:eastAsia="仿宋_GB2312"/>
          <w:color w:val="000000"/>
          <w:sz w:val="32"/>
          <w:szCs w:val="32"/>
          <w:highlight w:val="none"/>
          <w:lang w:val="en-US" w:eastAsia="zh-CN"/>
        </w:rPr>
        <w:t>2024年收支总预算</w:t>
      </w:r>
      <w:r>
        <w:rPr>
          <w:rFonts w:hint="eastAsia" w:ascii="仿宋_GB2312" w:eastAsia="仿宋_GB2312"/>
          <w:color w:val="000000"/>
          <w:sz w:val="32"/>
          <w:szCs w:val="32"/>
          <w:highlight w:val="none"/>
        </w:rPr>
        <w:t>4791.62</w:t>
      </w:r>
      <w:r>
        <w:rPr>
          <w:rFonts w:hint="eastAsia" w:ascii="仿宋_GB2312" w:eastAsia="仿宋_GB2312"/>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Cs/>
          <w:color w:val="000000"/>
          <w:sz w:val="32"/>
          <w:szCs w:val="32"/>
        </w:rPr>
        <w:t>温州市龙湾区人民检察院</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rPr>
        <w:t>温州市龙湾区人民检察院</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年收入预算</w:t>
      </w:r>
      <w:r>
        <w:rPr>
          <w:rFonts w:hint="eastAsia" w:ascii="仿宋_GB2312" w:eastAsia="仿宋_GB2312"/>
          <w:color w:val="000000"/>
          <w:sz w:val="32"/>
          <w:szCs w:val="32"/>
          <w:highlight w:val="none"/>
        </w:rPr>
        <w:t>4791.62</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285.53 万元，下</w:t>
      </w:r>
      <w:r>
        <w:rPr>
          <w:rFonts w:hint="eastAsia" w:ascii="仿宋_GB2312" w:hAnsi="仿宋_GB2312" w:eastAsia="仿宋_GB2312" w:cs="仿宋_GB2312"/>
          <w:color w:val="000000"/>
          <w:sz w:val="32"/>
          <w:highlight w:val="none"/>
        </w:rPr>
        <w:t>降5.6%</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主要是:2023年机关档案数字化项目支出114.17万元，公开听证室建设项目24.9万元已经完成2024年不再安排；按照相关要求压项目经费。</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firstLineChars="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rPr>
        <w:t>4783.67万元，占99.8%；上年结转</w:t>
      </w:r>
      <w:r>
        <w:rPr>
          <w:rFonts w:hint="eastAsia" w:ascii="仿宋_GB2312" w:eastAsia="仿宋_GB2312"/>
          <w:color w:val="000000"/>
          <w:sz w:val="32"/>
          <w:szCs w:val="32"/>
          <w:highlight w:val="none"/>
          <w:lang w:eastAsia="zh-CN"/>
        </w:rPr>
        <w:t>结余</w:t>
      </w:r>
      <w:r>
        <w:rPr>
          <w:rFonts w:hint="eastAsia" w:ascii="仿宋_GB2312" w:eastAsia="仿宋_GB2312"/>
          <w:color w:val="000000"/>
          <w:sz w:val="32"/>
          <w:szCs w:val="32"/>
          <w:highlight w:val="none"/>
        </w:rPr>
        <w:t>7.95万元，占0.</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textAlignment w:val="auto"/>
        <w:outlineLvl w:val="9"/>
        <w:rPr>
          <w:rFonts w:hint="eastAsia" w:ascii="仿宋_GB2312" w:eastAsia="仿宋_GB2312"/>
          <w:color w:val="000000"/>
          <w:sz w:val="32"/>
          <w:szCs w:val="32"/>
          <w:highlight w:val="none"/>
        </w:rPr>
      </w:pPr>
      <w:r>
        <w:rPr>
          <w:rFonts w:hint="eastAsia" w:ascii="楷体_GB2312" w:hAnsi="楷体_GB2312" w:eastAsia="楷体_GB2312" w:cs="楷体_GB2312"/>
          <w:b w:val="0"/>
          <w:bCs/>
          <w:color w:val="000000"/>
          <w:sz w:val="32"/>
          <w:szCs w:val="32"/>
          <w:highlight w:val="none"/>
        </w:rPr>
        <w:t>　　（</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Cs/>
          <w:color w:val="000000"/>
          <w:sz w:val="32"/>
          <w:szCs w:val="32"/>
          <w:highlight w:val="none"/>
        </w:rPr>
        <w:t>温州市龙湾区人民检察院</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温州市龙湾区人民检察院</w:t>
      </w:r>
      <w:r>
        <w:rPr>
          <w:rFonts w:hint="eastAsia" w:ascii="仿宋_GB2312" w:eastAsia="仿宋_GB2312"/>
          <w:color w:val="000000"/>
          <w:sz w:val="32"/>
          <w:szCs w:val="32"/>
          <w:highlight w:val="none"/>
          <w:lang w:val="en-US" w:eastAsia="zh-CN"/>
        </w:rPr>
        <w:t>20</w:t>
      </w:r>
      <w:r>
        <w:rPr>
          <w:rFonts w:hint="eastAsia" w:ascii="仿宋_GB2312" w:hAnsi="仿宋_GB2312" w:eastAsia="仿宋_GB2312" w:cs="仿宋_GB2312"/>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rPr>
        <w:t>年支出预算4791.62万元，</w:t>
      </w:r>
      <w:r>
        <w:rPr>
          <w:rFonts w:hint="eastAsia" w:ascii="仿宋_GB2312" w:hAnsi="仿宋_GB2312" w:eastAsia="仿宋_GB2312" w:cs="仿宋_GB2312"/>
          <w:color w:val="000000"/>
          <w:sz w:val="32"/>
          <w:szCs w:val="32"/>
          <w:highlight w:val="none"/>
          <w:lang w:eastAsia="zh-CN"/>
        </w:rPr>
        <w:t>比上年执行数</w:t>
      </w:r>
      <w:r>
        <w:rPr>
          <w:rFonts w:hint="eastAsia" w:ascii="仿宋_GB2312" w:hAnsi="仿宋_GB2312" w:eastAsia="仿宋_GB2312" w:cs="仿宋_GB2312"/>
          <w:color w:val="000000"/>
          <w:sz w:val="32"/>
          <w:szCs w:val="32"/>
          <w:highlight w:val="none"/>
          <w:lang w:val="en-US" w:eastAsia="zh-CN"/>
        </w:rPr>
        <w:t>减</w:t>
      </w:r>
      <w:r>
        <w:rPr>
          <w:rFonts w:hint="eastAsia" w:ascii="仿宋_GB2312" w:hAnsi="仿宋_GB2312" w:eastAsia="仿宋_GB2312" w:cs="仿宋_GB2312"/>
          <w:color w:val="000000"/>
          <w:sz w:val="32"/>
          <w:szCs w:val="32"/>
          <w:highlight w:val="none"/>
          <w:lang w:eastAsia="zh-CN"/>
        </w:rPr>
        <w:t>少</w:t>
      </w:r>
      <w:r>
        <w:rPr>
          <w:rFonts w:hint="eastAsia" w:ascii="仿宋_GB2312" w:hAnsi="仿宋_GB2312" w:eastAsia="仿宋_GB2312" w:cs="仿宋_GB2312"/>
          <w:color w:val="000000"/>
          <w:sz w:val="32"/>
          <w:szCs w:val="32"/>
          <w:highlight w:val="none"/>
          <w:lang w:val="en-US" w:eastAsia="zh-CN"/>
        </w:rPr>
        <w:t>285.53万元，</w:t>
      </w:r>
      <w:r>
        <w:rPr>
          <w:rFonts w:hint="eastAsia" w:ascii="仿宋_GB2312" w:hAnsi="仿宋_GB2312" w:eastAsia="仿宋_GB2312" w:cs="仿宋_GB2312"/>
          <w:color w:val="000000"/>
          <w:sz w:val="32"/>
          <w:highlight w:val="none"/>
        </w:rPr>
        <w:t>下降5.6%</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主要是2023年机关档案数字化项目支出114.17万元，公开听证室建设项目24.9万元已经完成2024年不再安排；按照相关要求压项目经费。</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firstLine="630"/>
        <w:textAlignment w:val="auto"/>
        <w:outlineLvl w:val="9"/>
        <w:rPr>
          <w:rFonts w:hint="eastAsia" w:ascii="仿宋_GB2312" w:eastAsia="仿宋_GB2312" w:cs="Times New Roman"/>
          <w:b/>
          <w:bCs/>
          <w:color w:val="000000"/>
          <w:sz w:val="32"/>
          <w:szCs w:val="32"/>
          <w:highlight w:val="none"/>
          <w:lang w:val="en-US" w:eastAsia="zh-CN"/>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rPr>
        <w:t>7.95万元</w:t>
      </w:r>
      <w:r>
        <w:rPr>
          <w:rFonts w:hint="eastAsia" w:ascii="仿宋_GB2312" w:eastAsia="仿宋_GB2312"/>
          <w:color w:val="000000"/>
          <w:sz w:val="32"/>
          <w:szCs w:val="32"/>
          <w:highlight w:val="none"/>
          <w:lang w:eastAsia="zh-CN"/>
        </w:rPr>
        <w:t>、公共安全支出</w:t>
      </w:r>
      <w:r>
        <w:rPr>
          <w:rFonts w:hint="eastAsia" w:ascii="仿宋_GB2312" w:eastAsia="仿宋_GB2312"/>
          <w:color w:val="000000"/>
          <w:sz w:val="32"/>
          <w:szCs w:val="32"/>
          <w:highlight w:val="none"/>
        </w:rPr>
        <w:t>3872.26万元</w:t>
      </w:r>
      <w:r>
        <w:rPr>
          <w:rFonts w:hint="eastAsia" w:ascii="仿宋_GB2312" w:eastAsia="仿宋_GB2312"/>
          <w:color w:val="000000"/>
          <w:sz w:val="32"/>
          <w:szCs w:val="32"/>
          <w:highlight w:val="none"/>
          <w:lang w:eastAsia="zh-CN"/>
        </w:rPr>
        <w:t>、科学技术支出</w:t>
      </w:r>
      <w:r>
        <w:rPr>
          <w:rFonts w:hint="eastAsia" w:ascii="仿宋_GB2312" w:eastAsia="仿宋_GB2312"/>
          <w:color w:val="000000"/>
          <w:sz w:val="32"/>
          <w:szCs w:val="32"/>
          <w:highlight w:val="none"/>
          <w:lang w:val="en-US" w:eastAsia="zh-CN"/>
        </w:rPr>
        <w:t>45.70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rPr>
        <w:t>422.63万元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148.79万元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rPr>
        <w:t>294.28万元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支出4030.43万元，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rPr>
        <w:t>84.1%</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rPr>
        <w:t>491.53万元，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rPr>
        <w:t>10.</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项目支出269.65万元，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rPr>
        <w:t>5.6%</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年终结转结余0.00万元。</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Cs/>
          <w:color w:val="000000"/>
          <w:sz w:val="32"/>
          <w:szCs w:val="32"/>
          <w:highlight w:val="none"/>
        </w:rPr>
        <w:t>温州市龙湾区人民检察院</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温州市龙湾区人民检察院局2024年财政拨款收支总预算</w:t>
      </w:r>
      <w:r>
        <w:rPr>
          <w:rFonts w:hint="eastAsia" w:ascii="仿宋_GB2312" w:eastAsia="仿宋_GB2312"/>
          <w:color w:val="000000"/>
          <w:sz w:val="32"/>
          <w:szCs w:val="32"/>
          <w:highlight w:val="none"/>
        </w:rPr>
        <w:t>4791.62</w:t>
      </w:r>
      <w:r>
        <w:rPr>
          <w:rFonts w:hint="eastAsia" w:ascii="仿宋_GB2312" w:eastAsia="仿宋_GB2312"/>
          <w:color w:val="000000"/>
          <w:sz w:val="32"/>
          <w:szCs w:val="32"/>
          <w:highlight w:val="none"/>
          <w:lang w:val="en-US" w:eastAsia="zh-CN"/>
        </w:rPr>
        <w:t>万元。收入包括：一般公共预算</w:t>
      </w:r>
      <w:r>
        <w:rPr>
          <w:rFonts w:hint="eastAsia" w:ascii="仿宋_GB2312" w:eastAsia="仿宋_GB2312"/>
          <w:color w:val="000000"/>
          <w:sz w:val="32"/>
          <w:szCs w:val="32"/>
          <w:highlight w:val="none"/>
        </w:rPr>
        <w:t>4791.62</w:t>
      </w:r>
      <w:r>
        <w:rPr>
          <w:rFonts w:hint="eastAsia" w:ascii="仿宋_GB2312" w:eastAsia="仿宋_GB2312"/>
          <w:color w:val="000000"/>
          <w:sz w:val="32"/>
          <w:szCs w:val="32"/>
          <w:highlight w:val="none"/>
          <w:lang w:val="en-US" w:eastAsia="zh-CN"/>
        </w:rPr>
        <w:t>万元；支出包括：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rPr>
        <w:t>7.95万元</w:t>
      </w:r>
      <w:r>
        <w:rPr>
          <w:rFonts w:hint="eastAsia" w:ascii="仿宋_GB2312" w:eastAsia="仿宋_GB2312"/>
          <w:color w:val="000000"/>
          <w:sz w:val="32"/>
          <w:szCs w:val="32"/>
          <w:highlight w:val="none"/>
          <w:lang w:eastAsia="zh-CN"/>
        </w:rPr>
        <w:t>、公共安全支出</w:t>
      </w:r>
      <w:r>
        <w:rPr>
          <w:rFonts w:hint="eastAsia" w:ascii="仿宋_GB2312" w:eastAsia="仿宋_GB2312"/>
          <w:color w:val="000000"/>
          <w:sz w:val="32"/>
          <w:szCs w:val="32"/>
          <w:highlight w:val="none"/>
        </w:rPr>
        <w:t>3872.26万元</w:t>
      </w:r>
      <w:r>
        <w:rPr>
          <w:rFonts w:hint="eastAsia" w:ascii="仿宋_GB2312" w:eastAsia="仿宋_GB2312"/>
          <w:color w:val="000000"/>
          <w:sz w:val="32"/>
          <w:szCs w:val="32"/>
          <w:highlight w:val="none"/>
          <w:lang w:eastAsia="zh-CN"/>
        </w:rPr>
        <w:t>、科学技术支出</w:t>
      </w:r>
      <w:r>
        <w:rPr>
          <w:rFonts w:hint="eastAsia" w:ascii="仿宋_GB2312" w:eastAsia="仿宋_GB2312"/>
          <w:color w:val="000000"/>
          <w:sz w:val="32"/>
          <w:szCs w:val="32"/>
          <w:highlight w:val="none"/>
        </w:rPr>
        <w:t>45.70万元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rPr>
        <w:t>422.63万元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rPr>
        <w:t>148.79万元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rPr>
        <w:t>294.28万元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60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Cs/>
          <w:color w:val="000000"/>
          <w:sz w:val="32"/>
          <w:szCs w:val="32"/>
          <w:highlight w:val="none"/>
        </w:rPr>
        <w:t>于温州市龙湾区人民检察院</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firstLineChars="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温州市龙湾区人民检察院2024年一般公共预算当年拨款</w:t>
      </w:r>
      <w:r>
        <w:rPr>
          <w:rFonts w:hint="eastAsia" w:ascii="仿宋_GB2312" w:hAnsi="仿宋_GB2312" w:eastAsia="仿宋_GB2312" w:cs="仿宋_GB2312"/>
          <w:color w:val="000000"/>
          <w:sz w:val="32"/>
          <w:szCs w:val="32"/>
          <w:highlight w:val="none"/>
        </w:rPr>
        <w:t>4791.62</w:t>
      </w:r>
      <w:r>
        <w:rPr>
          <w:rFonts w:hint="eastAsia" w:ascii="仿宋_GB2312" w:hAnsi="仿宋_GB2312" w:eastAsia="仿宋_GB2312" w:cs="仿宋_GB2312"/>
          <w:color w:val="000000"/>
          <w:sz w:val="32"/>
          <w:szCs w:val="32"/>
          <w:highlight w:val="none"/>
          <w:lang w:val="en-US" w:eastAsia="zh-CN"/>
        </w:rPr>
        <w:t>万元，比上年执行数减少</w:t>
      </w:r>
      <w:r>
        <w:rPr>
          <w:rFonts w:hint="eastAsia" w:ascii="仿宋_GB2312" w:hAnsi="仿宋_GB2312" w:eastAsia="仿宋_GB2312" w:cs="仿宋_GB2312"/>
          <w:color w:val="000000"/>
          <w:sz w:val="32"/>
          <w:szCs w:val="32"/>
          <w:highlight w:val="none"/>
        </w:rPr>
        <w:t>285.53</w:t>
      </w:r>
      <w:r>
        <w:rPr>
          <w:rFonts w:hint="eastAsia" w:ascii="仿宋_GB2312" w:hAnsi="仿宋_GB2312" w:eastAsia="仿宋_GB2312" w:cs="仿宋_GB2312"/>
          <w:color w:val="000000"/>
          <w:sz w:val="32"/>
          <w:szCs w:val="32"/>
          <w:highlight w:val="none"/>
          <w:lang w:val="en-US" w:eastAsia="zh-CN"/>
        </w:rPr>
        <w:t>万元，下</w:t>
      </w:r>
      <w:r>
        <w:rPr>
          <w:rFonts w:hint="eastAsia" w:ascii="仿宋_GB2312" w:hAnsi="仿宋_GB2312" w:eastAsia="仿宋_GB2312" w:cs="仿宋_GB2312"/>
          <w:color w:val="000000"/>
          <w:sz w:val="32"/>
          <w:highlight w:val="none"/>
        </w:rPr>
        <w:t>降5.6%</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主要是:2023年机关档案数字化项目支出114.17万元，公开听证室建设项目24.9万元已经完成2024年不再安排；按照相关要求压项目经费。</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一般公共服务支出</w:t>
      </w:r>
      <w:r>
        <w:rPr>
          <w:rFonts w:hint="eastAsia" w:ascii="仿宋_GB2312" w:hAnsi="仿宋_GB2312" w:eastAsia="仿宋_GB2312" w:cs="仿宋_GB2312"/>
          <w:color w:val="000000"/>
          <w:sz w:val="32"/>
          <w:szCs w:val="32"/>
          <w:highlight w:val="none"/>
        </w:rPr>
        <w:t>7.95万元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rPr>
        <w:t>0.</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；公共安全支出</w:t>
      </w:r>
      <w:r>
        <w:rPr>
          <w:rFonts w:hint="eastAsia" w:ascii="仿宋_GB2312" w:hAnsi="仿宋_GB2312" w:eastAsia="仿宋_GB2312" w:cs="仿宋_GB2312"/>
          <w:color w:val="000000"/>
          <w:sz w:val="32"/>
          <w:szCs w:val="32"/>
          <w:highlight w:val="none"/>
        </w:rPr>
        <w:t>3872.26万元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rPr>
        <w:t>80.8%</w:t>
      </w:r>
      <w:r>
        <w:rPr>
          <w:rFonts w:hint="eastAsia" w:ascii="仿宋_GB2312" w:hAnsi="仿宋_GB2312" w:eastAsia="仿宋_GB2312" w:cs="仿宋_GB2312"/>
          <w:color w:val="000000"/>
          <w:sz w:val="32"/>
          <w:szCs w:val="32"/>
          <w:highlight w:val="none"/>
          <w:lang w:eastAsia="zh-CN"/>
        </w:rPr>
        <w:t>；科学技术支出</w:t>
      </w:r>
      <w:r>
        <w:rPr>
          <w:rFonts w:hint="eastAsia" w:ascii="仿宋_GB2312" w:hAnsi="仿宋_GB2312" w:eastAsia="仿宋_GB2312" w:cs="仿宋_GB2312"/>
          <w:color w:val="000000"/>
          <w:sz w:val="32"/>
          <w:szCs w:val="32"/>
          <w:highlight w:val="none"/>
        </w:rPr>
        <w:t>45.70万元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rPr>
        <w:t>0.</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；社会保障和就业支出</w:t>
      </w:r>
      <w:r>
        <w:rPr>
          <w:rFonts w:hint="eastAsia" w:ascii="仿宋_GB2312" w:hAnsi="仿宋_GB2312" w:eastAsia="仿宋_GB2312" w:cs="仿宋_GB2312"/>
          <w:color w:val="000000"/>
          <w:sz w:val="32"/>
          <w:szCs w:val="32"/>
          <w:highlight w:val="none"/>
        </w:rPr>
        <w:t>422.63万元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rPr>
        <w:t>8.8%</w:t>
      </w:r>
      <w:r>
        <w:rPr>
          <w:rFonts w:hint="eastAsia" w:ascii="仿宋_GB2312" w:hAnsi="仿宋_GB2312" w:eastAsia="仿宋_GB2312" w:cs="仿宋_GB2312"/>
          <w:color w:val="000000"/>
          <w:sz w:val="32"/>
          <w:szCs w:val="32"/>
          <w:highlight w:val="none"/>
          <w:lang w:eastAsia="zh-CN"/>
        </w:rPr>
        <w:t>；卫生健康支出</w:t>
      </w:r>
      <w:r>
        <w:rPr>
          <w:rFonts w:hint="eastAsia" w:ascii="仿宋_GB2312" w:hAnsi="仿宋_GB2312" w:eastAsia="仿宋_GB2312" w:cs="仿宋_GB2312"/>
          <w:color w:val="000000"/>
          <w:sz w:val="32"/>
          <w:szCs w:val="32"/>
          <w:highlight w:val="none"/>
        </w:rPr>
        <w:t>148.79万元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rPr>
        <w:t>3.1%</w:t>
      </w:r>
      <w:r>
        <w:rPr>
          <w:rFonts w:hint="eastAsia" w:ascii="仿宋_GB2312" w:hAnsi="仿宋_GB2312" w:eastAsia="仿宋_GB2312" w:cs="仿宋_GB2312"/>
          <w:color w:val="000000"/>
          <w:sz w:val="32"/>
          <w:szCs w:val="32"/>
          <w:highlight w:val="none"/>
          <w:lang w:eastAsia="zh-CN"/>
        </w:rPr>
        <w:t>；住房保障支出</w:t>
      </w:r>
      <w:r>
        <w:rPr>
          <w:rFonts w:hint="eastAsia" w:ascii="仿宋_GB2312" w:hAnsi="仿宋_GB2312" w:eastAsia="仿宋_GB2312" w:cs="仿宋_GB2312"/>
          <w:color w:val="000000"/>
          <w:sz w:val="32"/>
          <w:szCs w:val="32"/>
          <w:highlight w:val="none"/>
        </w:rPr>
        <w:t>294.28万元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rPr>
        <w:t>6.1%</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 xml:space="preserve">  3.一般公共预算当年拨款具体使用情况。</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一般公共服务支出（类）党委办公厅（室）及相关机构事务（款）专项业务（项）7.95万元，主要用于</w:t>
      </w:r>
      <w:r>
        <w:rPr>
          <w:rFonts w:hint="eastAsia" w:ascii="仿宋_GB2312" w:hAnsi="仿宋_GB2312" w:eastAsia="仿宋_GB2312" w:cs="仿宋_GB2312"/>
          <w:color w:val="000000"/>
          <w:sz w:val="32"/>
          <w:szCs w:val="32"/>
          <w:highlight w:val="none"/>
          <w:lang w:val="en-US" w:eastAsia="zh-CN"/>
        </w:rPr>
        <w:t>国家司法救助</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公共安全支出（类）检察（款）行政运行（项）3158.65万元，主要用于</w:t>
      </w:r>
      <w:r>
        <w:rPr>
          <w:rFonts w:hint="eastAsia" w:ascii="仿宋_GB2312" w:hAnsi="仿宋_GB2312" w:eastAsia="仿宋_GB2312" w:cs="仿宋_GB2312"/>
          <w:color w:val="000000"/>
          <w:sz w:val="32"/>
          <w:szCs w:val="32"/>
        </w:rPr>
        <w:t>主要用于本院机关人员工资及日常运转</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公共安全支出（类）检察（款）事业运行（项）529.61万元，主要用于</w:t>
      </w:r>
      <w:r>
        <w:rPr>
          <w:rFonts w:ascii="仿宋_GB2312" w:hAnsi="仿宋_GB2312" w:eastAsia="仿宋_GB2312" w:cs="仿宋_GB2312"/>
          <w:color w:val="000000"/>
          <w:sz w:val="32"/>
          <w:szCs w:val="32"/>
        </w:rPr>
        <w:t>本院</w:t>
      </w:r>
      <w:r>
        <w:rPr>
          <w:rFonts w:hint="eastAsia" w:ascii="仿宋_GB2312" w:hAnsi="仿宋_GB2312" w:eastAsia="仿宋_GB2312" w:cs="仿宋_GB2312"/>
          <w:color w:val="000000"/>
          <w:sz w:val="32"/>
          <w:szCs w:val="32"/>
        </w:rPr>
        <w:t>所属事业单位人员工资</w:t>
      </w:r>
      <w:r>
        <w:rPr>
          <w:rFonts w:hint="eastAsia" w:ascii="仿宋_GB2312" w:hAnsi="仿宋_GB2312" w:eastAsia="仿宋_GB2312" w:cs="仿宋_GB2312"/>
          <w:color w:val="000000"/>
          <w:sz w:val="32"/>
          <w:szCs w:val="32"/>
          <w:highlight w:val="none"/>
        </w:rPr>
        <w:t>。</w:t>
      </w:r>
    </w:p>
    <w:p>
      <w:pPr>
        <w:pStyle w:val="7"/>
        <w:ind w:firstLine="640"/>
        <w:rPr>
          <w:rFonts w:hint="eastAsia" w:ascii="仿宋_GB2312" w:hAnsi="仿宋_GB2312" w:eastAsia="仿宋_GB2312" w:cs="仿宋_GB2312"/>
          <w:color w:val="000000"/>
          <w:sz w:val="32"/>
          <w:szCs w:val="32"/>
        </w:rPr>
      </w:pPr>
      <w:r>
        <w:rPr>
          <w:rFonts w:hint="eastAsia" w:cs="仿宋_GB2312"/>
          <w:color w:val="000000"/>
          <w:sz w:val="32"/>
          <w:szCs w:val="32"/>
          <w:highlight w:val="none"/>
          <w:lang w:val="en-US" w:eastAsia="zh-CN"/>
        </w:rPr>
        <w:t>（4）</w:t>
      </w:r>
      <w:r>
        <w:rPr>
          <w:rFonts w:hint="eastAsia" w:ascii="仿宋_GB2312" w:hAnsi="仿宋_GB2312" w:eastAsia="仿宋_GB2312" w:cs="仿宋_GB2312"/>
          <w:color w:val="000000"/>
          <w:sz w:val="32"/>
          <w:szCs w:val="32"/>
        </w:rPr>
        <w:t>公共安全支出（类）检察（款）其他检察支出（项）184.00</w:t>
      </w:r>
      <w:r>
        <w:rPr>
          <w:rFonts w:ascii="仿宋_GB2312" w:hAnsi="仿宋_GB2312" w:eastAsia="仿宋_GB2312" w:cs="仿宋_GB2312"/>
          <w:color w:val="000000"/>
          <w:sz w:val="32"/>
          <w:szCs w:val="32"/>
        </w:rPr>
        <w:t>万元,主要用于本院</w:t>
      </w:r>
      <w:r>
        <w:rPr>
          <w:rFonts w:hint="eastAsia" w:ascii="仿宋_GB2312" w:hAnsi="仿宋_GB2312" w:eastAsia="仿宋_GB2312" w:cs="仿宋_GB2312"/>
          <w:color w:val="000000"/>
          <w:sz w:val="32"/>
          <w:szCs w:val="32"/>
        </w:rPr>
        <w:t>检察办案业务支出与装备采购支出。</w:t>
      </w:r>
    </w:p>
    <w:p>
      <w:pPr>
        <w:autoSpaceDE/>
        <w:autoSpaceDN/>
        <w:adjustRightInd/>
        <w:spacing w:beforeLines="0" w:afterLines="0" w:line="600" w:lineRule="exact"/>
        <w:ind w:firstLine="640" w:firstLineChars="200"/>
        <w:jc w:val="both"/>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科学技术支出（类）其他科学技术支出（款）其他科学技术支出（项）45.7</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万元,主要用于本院</w:t>
      </w:r>
      <w:r>
        <w:rPr>
          <w:rFonts w:hint="eastAsia" w:ascii="仿宋_GB2312" w:hAnsi="仿宋_GB2312" w:eastAsia="仿宋_GB2312" w:cs="仿宋_GB2312"/>
          <w:color w:val="000000"/>
          <w:sz w:val="32"/>
          <w:szCs w:val="32"/>
          <w:highlight w:val="none"/>
          <w:lang w:val="en-US" w:eastAsia="zh-CN"/>
        </w:rPr>
        <w:t>科技强</w:t>
      </w:r>
      <w:r>
        <w:rPr>
          <w:rFonts w:hint="eastAsia" w:ascii="仿宋_GB2312" w:hAnsi="仿宋_GB2312" w:eastAsia="仿宋_GB2312" w:cs="仿宋_GB2312"/>
          <w:color w:val="000000"/>
          <w:sz w:val="32"/>
          <w:szCs w:val="32"/>
          <w:highlight w:val="none"/>
        </w:rPr>
        <w:t>检</w:t>
      </w:r>
      <w:r>
        <w:rPr>
          <w:rFonts w:hint="eastAsia" w:ascii="仿宋_GB2312" w:hAnsi="仿宋_GB2312" w:eastAsia="仿宋_GB2312" w:cs="仿宋_GB2312"/>
          <w:color w:val="000000"/>
          <w:sz w:val="32"/>
          <w:szCs w:val="32"/>
          <w:highlight w:val="none"/>
          <w:lang w:val="en-US" w:eastAsia="zh-CN"/>
        </w:rPr>
        <w:t>方面的项目支出（数字检务管理与监督系统项目）</w:t>
      </w:r>
      <w:r>
        <w:rPr>
          <w:rFonts w:hint="eastAsia" w:ascii="仿宋_GB2312" w:hAnsi="仿宋_GB2312" w:eastAsia="仿宋_GB2312" w:cs="仿宋_GB2312"/>
          <w:color w:val="000000"/>
          <w:sz w:val="32"/>
          <w:szCs w:val="32"/>
          <w:highlight w:val="none"/>
        </w:rPr>
        <w:t>。</w:t>
      </w:r>
    </w:p>
    <w:p>
      <w:pPr>
        <w:spacing w:line="520" w:lineRule="exact"/>
        <w:ind w:firstLine="642"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社会保障和就业支出（类）行政事业单位养老支出（款）机关事业单位基本养老保险缴费支出（项）281.75</w:t>
      </w:r>
      <w:r>
        <w:rPr>
          <w:rFonts w:ascii="仿宋_GB2312" w:hAnsi="仿宋_GB2312" w:eastAsia="仿宋_GB2312" w:cs="仿宋_GB2312"/>
          <w:color w:val="000000"/>
          <w:sz w:val="32"/>
          <w:szCs w:val="32"/>
        </w:rPr>
        <w:t>万元,主要用于本院机关及所属事业单位按国家规定为职工缴纳的养老保险。</w:t>
      </w:r>
    </w:p>
    <w:p>
      <w:pPr>
        <w:spacing w:line="520" w:lineRule="exact"/>
        <w:ind w:firstLine="642"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）社会保障和就业支出（类）行政事业单位养老支出（款）机关事业单位职业年金缴费支出（项）140.88</w:t>
      </w:r>
      <w:r>
        <w:rPr>
          <w:rFonts w:ascii="仿宋_GB2312" w:hAnsi="仿宋_GB2312" w:eastAsia="仿宋_GB2312" w:cs="仿宋_GB2312"/>
          <w:color w:val="000000"/>
          <w:sz w:val="32"/>
          <w:szCs w:val="32"/>
        </w:rPr>
        <w:t>万元，主要用于本院机关及所属事业单位按国家规定为职工缴纳的职业年金支出。</w:t>
      </w:r>
    </w:p>
    <w:p>
      <w:pPr>
        <w:spacing w:line="520" w:lineRule="exact"/>
        <w:ind w:firstLine="642"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）卫生健康支出（类）行政事业单位医疗（款）行政单位医疗（项）148.79</w:t>
      </w:r>
      <w:r>
        <w:rPr>
          <w:rFonts w:ascii="仿宋_GB2312" w:hAnsi="仿宋_GB2312" w:eastAsia="仿宋_GB2312" w:cs="仿宋_GB2312"/>
          <w:color w:val="000000"/>
          <w:sz w:val="32"/>
          <w:szCs w:val="32"/>
        </w:rPr>
        <w:t>万元，主要用于本院机关及所属事业单位基本医疗保障的支出。</w:t>
      </w:r>
    </w:p>
    <w:p>
      <w:pPr>
        <w:spacing w:line="520" w:lineRule="exact"/>
        <w:ind w:firstLine="642"/>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9</w:t>
      </w:r>
      <w:r>
        <w:rPr>
          <w:rFonts w:ascii="仿宋_GB2312" w:hAnsi="仿宋_GB2312" w:eastAsia="仿宋_GB2312" w:cs="仿宋_GB2312"/>
          <w:color w:val="000000"/>
          <w:sz w:val="32"/>
          <w:szCs w:val="32"/>
        </w:rPr>
        <w:t>）住房保障支出（类）住房改革支出（款）住房公积金（项）</w:t>
      </w:r>
      <w:r>
        <w:rPr>
          <w:rFonts w:hint="eastAsia" w:ascii="仿宋_GB2312" w:hAnsi="仿宋_GB2312" w:eastAsia="仿宋_GB2312" w:cs="仿宋_GB2312"/>
          <w:color w:val="000000"/>
          <w:sz w:val="32"/>
          <w:szCs w:val="32"/>
        </w:rPr>
        <w:t>294.28</w:t>
      </w:r>
      <w:r>
        <w:rPr>
          <w:rFonts w:ascii="仿宋_GB2312" w:hAnsi="仿宋_GB2312" w:eastAsia="仿宋_GB2312" w:cs="仿宋_GB2312"/>
          <w:color w:val="000000"/>
          <w:sz w:val="32"/>
          <w:szCs w:val="32"/>
        </w:rPr>
        <w:t>万元，主要用于本院机关及所属事业单位住房公积金等支出。</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Cs/>
          <w:color w:val="000000"/>
          <w:sz w:val="32"/>
          <w:szCs w:val="32"/>
        </w:rPr>
        <w:t>温州市龙湾区人民检察院</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温州市龙湾区人民检察院</w:t>
      </w:r>
      <w:r>
        <w:rPr>
          <w:rFonts w:hint="eastAsia" w:ascii="仿宋_GB2312" w:eastAsia="仿宋_GB2312"/>
          <w:color w:val="000000"/>
          <w:sz w:val="32"/>
          <w:szCs w:val="32"/>
          <w:highlight w:val="none"/>
          <w:lang w:val="en-US" w:eastAsia="zh-CN"/>
        </w:rPr>
        <w:t>2024</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rPr>
        <w:t>4521.97</w:t>
      </w:r>
      <w:r>
        <w:rPr>
          <w:rFonts w:hint="eastAsia" w:ascii="仿宋_GB2312" w:eastAsia="仿宋_GB2312"/>
          <w:color w:val="000000"/>
          <w:sz w:val="32"/>
          <w:szCs w:val="32"/>
          <w:highlight w:val="none"/>
          <w:lang w:val="en-US" w:eastAsia="zh-CN"/>
        </w:rPr>
        <w:t>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rPr>
        <w:t>4030.43</w:t>
      </w:r>
      <w:r>
        <w:rPr>
          <w:rFonts w:hint="eastAsia" w:ascii="仿宋_GB2312" w:eastAsia="仿宋_GB2312" w:cs="Times New Roman"/>
          <w:b w:val="0"/>
          <w:color w:val="000000"/>
          <w:sz w:val="32"/>
          <w:szCs w:val="32"/>
          <w:highlight w:val="none"/>
          <w:lang w:val="en-US" w:eastAsia="zh-CN"/>
        </w:rPr>
        <w:t>万元，主要包括：基本工资、津贴补贴、奖金、伙食补助费、绩效工资、机关事业单位基本养老保险缴费、职业年金缴费、职工基本医疗保险缴费、公务员医疗补助缴费、其他社会保障缴费、住房公积金、医疗费、其他工资福利支出、其他对个人和家庭的补助；</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left="0" w:leftChars="0" w:right="0" w:rightChars="0" w:firstLine="642" w:firstLineChars="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rPr>
        <w:t>491.53</w:t>
      </w:r>
      <w:r>
        <w:rPr>
          <w:rFonts w:hint="eastAsia" w:ascii="仿宋_GB2312" w:eastAsia="仿宋_GB2312" w:cs="Times New Roman"/>
          <w:b w:val="0"/>
          <w:color w:val="000000"/>
          <w:sz w:val="32"/>
          <w:szCs w:val="32"/>
          <w:highlight w:val="none"/>
          <w:lang w:val="en-US" w:eastAsia="zh-CN"/>
        </w:rPr>
        <w:t>万元，主要包括：医疗费、办公费、印刷费、手续费、水费、电费、邮电费、物业管理费、差旅费、维修（护）费、会议费、培训费、被装购置费、工会经费、福利费、公务用车运行维护费、其他交通费用、其他商品和服务支出、</w:t>
      </w:r>
      <w:r>
        <w:rPr>
          <w:rFonts w:hint="eastAsia" w:ascii="仿宋_GB2312" w:eastAsia="仿宋_GB2312"/>
          <w:color w:val="000000"/>
          <w:sz w:val="32"/>
          <w:szCs w:val="32"/>
        </w:rPr>
        <w:t>其他对个人和家庭的补助</w:t>
      </w:r>
      <w:r>
        <w:rPr>
          <w:rFonts w:hint="eastAsia" w:ascii="仿宋_GB2312" w:eastAsia="仿宋_GB2312"/>
          <w:color w:val="000000"/>
          <w:sz w:val="32"/>
          <w:szCs w:val="32"/>
          <w:lang w:eastAsia="zh-CN"/>
        </w:rPr>
        <w:t>、</w:t>
      </w:r>
      <w:r>
        <w:rPr>
          <w:rFonts w:hint="eastAsia" w:ascii="仿宋_GB2312" w:eastAsia="仿宋_GB2312" w:cs="Times New Roman"/>
          <w:b w:val="0"/>
          <w:color w:val="000000"/>
          <w:sz w:val="32"/>
          <w:szCs w:val="32"/>
          <w:highlight w:val="none"/>
          <w:lang w:val="en-US" w:eastAsia="zh-CN"/>
        </w:rPr>
        <w:t>办公设备购置。</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w:t>
      </w:r>
      <w:r>
        <w:rPr>
          <w:rFonts w:hint="eastAsia" w:ascii="楷体_GB2312" w:hAnsi="楷体_GB2312" w:eastAsia="楷体_GB2312" w:cs="楷体_GB2312"/>
          <w:bCs/>
          <w:color w:val="000000"/>
          <w:sz w:val="32"/>
          <w:szCs w:val="32"/>
        </w:rPr>
        <w:t>温州市龙湾区人民检察院</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0" w:firstLineChars="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温州市龙湾区人民检察院2024年没有使用政府性基金预算拨款安排的支出，与上年执行数持平。</w:t>
      </w:r>
    </w:p>
    <w:p>
      <w:pPr>
        <w:keepNext w:val="0"/>
        <w:keepLines w:val="0"/>
        <w:pageBreakBefore w:val="0"/>
        <w:kinsoku/>
        <w:wordWrap/>
        <w:overflowPunct/>
        <w:topLinePunct w:val="0"/>
        <w:autoSpaceDE/>
        <w:autoSpaceDN/>
        <w:bidi w:val="0"/>
        <w:adjustRightInd/>
        <w:snapToGrid/>
        <w:spacing w:beforeLines="0" w:afterLines="0" w:line="60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（八）关于</w:t>
      </w:r>
      <w:r>
        <w:rPr>
          <w:rFonts w:hint="eastAsia" w:ascii="楷体_GB2312" w:hAnsi="楷体_GB2312" w:eastAsia="楷体_GB2312" w:cs="楷体_GB2312"/>
          <w:bCs/>
          <w:color w:val="000000"/>
          <w:sz w:val="32"/>
          <w:szCs w:val="32"/>
        </w:rPr>
        <w:t>温州市龙湾区人民检察院</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国有资本经营预算支出情况说明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温州市龙湾区人民检察院2024年没有使用国有资本经营预算拨款安排的支出，与上年执行数持平。</w:t>
      </w:r>
    </w:p>
    <w:p>
      <w:pPr>
        <w:keepNext w:val="0"/>
        <w:keepLines w:val="0"/>
        <w:pageBreakBefore w:val="0"/>
        <w:kinsoku/>
        <w:wordWrap/>
        <w:overflowPunct/>
        <w:topLinePunct w:val="0"/>
        <w:autoSpaceDE/>
        <w:autoSpaceDN/>
        <w:bidi w:val="0"/>
        <w:adjustRightInd/>
        <w:snapToGrid/>
        <w:spacing w:beforeLines="0" w:afterLines="0" w:line="600" w:lineRule="exact"/>
        <w:ind w:left="477" w:leftChars="227" w:right="0" w:rightChars="0" w:firstLine="0" w:firstLineChars="0"/>
        <w:textAlignment w:val="auto"/>
        <w:outlineLvl w:val="9"/>
        <w:rPr>
          <w:rFonts w:hint="eastAsia" w:ascii="楷体_GB2312" w:hAnsi="楷体_GB2312" w:eastAsia="楷体_GB2312" w:cs="楷体_GB2312"/>
          <w:b w:val="0"/>
          <w:bCs/>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楷体_GB2312" w:hAnsi="楷体_GB2312" w:eastAsia="楷体_GB2312" w:cs="楷体_GB2312"/>
          <w:b w:val="0"/>
          <w:bCs/>
          <w:color w:val="000000"/>
          <w:sz w:val="32"/>
          <w:szCs w:val="32"/>
          <w:highlight w:val="none"/>
          <w:lang w:eastAsia="zh-CN"/>
        </w:rPr>
        <w:t>（九）关</w:t>
      </w:r>
      <w:r>
        <w:rPr>
          <w:rFonts w:hint="eastAsia" w:ascii="楷体_GB2312" w:hAnsi="楷体_GB2312" w:eastAsia="楷体_GB2312" w:cs="楷体_GB2312"/>
          <w:b w:val="0"/>
          <w:bCs/>
          <w:sz w:val="32"/>
          <w:szCs w:val="32"/>
          <w:highlight w:val="none"/>
          <w:lang w:eastAsia="zh-CN"/>
        </w:rPr>
        <w:t>于温州市龙湾区人民检察院</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hAnsi="仿宋_GB2312" w:eastAsia="仿宋_GB2312"/>
          <w:sz w:val="32"/>
          <w:highlight w:val="none"/>
          <w:lang w:val="en-US" w:eastAsia="zh-CN"/>
        </w:rPr>
        <w:t>温州市龙湾区人民检察院2024年“</w:t>
      </w:r>
      <w:r>
        <w:rPr>
          <w:rFonts w:hint="eastAsia" w:ascii="仿宋_GB2312" w:hAnsi="仿宋_GB2312" w:eastAsia="仿宋_GB2312"/>
          <w:sz w:val="32"/>
          <w:highlight w:val="none"/>
        </w:rPr>
        <w:t>三公”经费预算数为</w:t>
      </w:r>
      <w:r>
        <w:rPr>
          <w:rFonts w:hint="eastAsia" w:ascii="仿宋_GB2312" w:eastAsia="仿宋_GB2312"/>
          <w:color w:val="000000"/>
          <w:sz w:val="32"/>
          <w:szCs w:val="32"/>
          <w:highlight w:val="none"/>
        </w:rPr>
        <w:t>64.90</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比上年预算数减少16.00万元，下降19.78%，</w:t>
      </w:r>
      <w:r>
        <w:rPr>
          <w:rFonts w:hint="eastAsia" w:ascii="仿宋_GB2312" w:hAnsi="仿宋_GB2312" w:eastAsia="仿宋_GB2312"/>
          <w:sz w:val="32"/>
          <w:highlight w:val="none"/>
          <w:lang w:eastAsia="zh-CN"/>
        </w:rPr>
        <w:t>具体如下：</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b w:val="0"/>
          <w:bCs w:val="0"/>
          <w:sz w:val="32"/>
          <w:szCs w:val="32"/>
          <w:highlight w:val="none"/>
          <w:lang w:eastAsia="zh-CN"/>
        </w:rPr>
        <w:t>主要用于机关及下属预算单位人员公务出国（境）的国际旅费、国外城市间交通费、住宿费、伙食费、培训费、公杂费等支出。</w:t>
      </w:r>
      <w:r>
        <w:rPr>
          <w:rFonts w:hint="eastAsia" w:ascii="仿宋_GB2312" w:hAnsi="仿宋_GB2312" w:eastAsia="仿宋_GB2312" w:cs="仿宋_GB2312"/>
          <w:color w:val="000000"/>
          <w:sz w:val="32"/>
          <w:szCs w:val="32"/>
        </w:rPr>
        <w:t>与上年预算数持平</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bidi w:val="0"/>
        <w:snapToGrid/>
        <w:spacing w:beforeLines="0" w:afterLines="0" w:line="60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rPr>
        <w:t>1.90</w:t>
      </w:r>
      <w:r>
        <w:rPr>
          <w:rFonts w:hint="eastAsia" w:ascii="仿宋_GB2312" w:hAnsi="仿宋_GB2312" w:eastAsia="仿宋_GB2312" w:cs="仿宋_GB2312"/>
          <w:sz w:val="32"/>
          <w:szCs w:val="32"/>
          <w:highlight w:val="none"/>
        </w:rPr>
        <w:t>万元，与上年预算数持平</w:t>
      </w:r>
      <w:r>
        <w:rPr>
          <w:rFonts w:hint="eastAsia" w:ascii="仿宋_GB2312" w:hAnsi="仿宋_GB2312" w:eastAsia="仿宋_GB2312" w:cs="仿宋_GB2312"/>
          <w:b w:val="0"/>
          <w:bCs w:val="0"/>
          <w:sz w:val="32"/>
          <w:szCs w:val="32"/>
          <w:highlight w:val="none"/>
          <w:lang w:eastAsia="zh-CN"/>
        </w:rPr>
        <w:t>，主要用于根据实际工作需要安排公务接待费。</w:t>
      </w:r>
    </w:p>
    <w:p>
      <w:pPr>
        <w:pStyle w:val="6"/>
        <w:keepNext w:val="0"/>
        <w:keepLines w:val="0"/>
        <w:pageBreakBefore w:val="0"/>
        <w:kinsoku/>
        <w:wordWrap/>
        <w:overflowPunct/>
        <w:topLinePunct w:val="0"/>
        <w:autoSpaceDE/>
        <w:autoSpaceDN/>
        <w:bidi w:val="0"/>
        <w:adjustRightInd/>
        <w:snapToGrid/>
        <w:spacing w:beforeLines="0" w:afterLines="0" w:line="600" w:lineRule="exact"/>
        <w:ind w:right="0" w:rightChars="0" w:firstLine="640" w:firstLineChars="200"/>
        <w:textAlignment w:val="auto"/>
        <w:outlineLvl w:val="9"/>
        <w:rPr>
          <w:rFonts w:hint="eastAsia" w:ascii="仿宋_GB2312" w:eastAsia="仿宋_GB2312"/>
          <w:b/>
          <w:bCs/>
          <w:sz w:val="32"/>
          <w:szCs w:val="32"/>
          <w:highlight w:val="none"/>
          <w:lang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color w:val="000000"/>
          <w:sz w:val="32"/>
          <w:szCs w:val="32"/>
          <w:highlight w:val="none"/>
        </w:rPr>
        <w:t>63.00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比</w:t>
      </w:r>
      <w:r>
        <w:rPr>
          <w:rFonts w:hint="eastAsia" w:ascii="仿宋_GB2312" w:hAnsi="仿宋_GB2312" w:eastAsia="仿宋_GB2312" w:cs="仿宋_GB2312"/>
          <w:sz w:val="32"/>
          <w:szCs w:val="32"/>
          <w:highlight w:val="none"/>
        </w:rPr>
        <w:t>上年</w:t>
      </w:r>
      <w:r>
        <w:rPr>
          <w:rFonts w:hint="eastAsia" w:ascii="仿宋_GB2312" w:hAnsi="仿宋_GB2312" w:eastAsia="仿宋_GB2312" w:cs="仿宋_GB2312"/>
          <w:sz w:val="32"/>
          <w:szCs w:val="32"/>
          <w:highlight w:val="none"/>
          <w:lang w:eastAsia="zh-CN"/>
        </w:rPr>
        <w:t>预算数减少</w:t>
      </w:r>
      <w:r>
        <w:rPr>
          <w:rFonts w:hint="eastAsia" w:ascii="仿宋_GB2312" w:hAnsi="仿宋_GB2312" w:eastAsia="仿宋_GB2312" w:cs="仿宋_GB2312"/>
          <w:sz w:val="32"/>
          <w:szCs w:val="32"/>
          <w:highlight w:val="none"/>
          <w:lang w:val="en-US" w:eastAsia="zh-CN"/>
        </w:rPr>
        <w:t>16.00万元，</w:t>
      </w:r>
      <w:r>
        <w:rPr>
          <w:rFonts w:hint="eastAsia" w:ascii="仿宋_GB2312" w:hAnsi="仿宋_GB2312" w:eastAsia="仿宋_GB2312" w:cs="仿宋_GB2312"/>
          <w:sz w:val="32"/>
          <w:szCs w:val="32"/>
          <w:highlight w:val="none"/>
        </w:rPr>
        <w:t>下降</w:t>
      </w:r>
      <w:r>
        <w:rPr>
          <w:rFonts w:hint="eastAsia" w:ascii="仿宋_GB2312" w:hAnsi="仿宋_GB2312" w:eastAsia="仿宋_GB2312" w:cs="仿宋_GB2312"/>
          <w:sz w:val="32"/>
          <w:szCs w:val="32"/>
          <w:highlight w:val="none"/>
          <w:lang w:eastAsia="zh-CN"/>
        </w:rPr>
        <w:t>20.25%</w:t>
      </w:r>
      <w:r>
        <w:rPr>
          <w:rFonts w:hint="eastAsia" w:ascii="仿宋_GB2312" w:eastAsia="仿宋_GB2312"/>
          <w:sz w:val="32"/>
          <w:szCs w:val="32"/>
          <w:highlight w:val="none"/>
        </w:rPr>
        <w:t>。其中，公务用车购置支出</w:t>
      </w:r>
      <w:r>
        <w:rPr>
          <w:rFonts w:hint="eastAsia" w:ascii="仿宋_GB2312" w:eastAsia="仿宋_GB2312"/>
          <w:color w:val="000000"/>
          <w:sz w:val="32"/>
          <w:szCs w:val="32"/>
          <w:highlight w:val="none"/>
        </w:rPr>
        <w:t>18.00</w:t>
      </w:r>
      <w:r>
        <w:rPr>
          <w:rFonts w:hint="eastAsia" w:ascii="仿宋_GB2312" w:eastAsia="仿宋_GB2312"/>
          <w:sz w:val="32"/>
          <w:szCs w:val="32"/>
          <w:highlight w:val="none"/>
        </w:rPr>
        <w:t>万元（含购置税等附加费用），主要用于经批准购置的</w:t>
      </w:r>
      <w:r>
        <w:rPr>
          <w:rFonts w:hint="eastAsia" w:ascii="仿宋_GB2312" w:eastAsia="仿宋_GB2312"/>
          <w:color w:val="000000"/>
          <w:sz w:val="32"/>
          <w:szCs w:val="32"/>
          <w:highlight w:val="none"/>
          <w:lang w:val="en-US" w:eastAsia="zh-CN"/>
        </w:rPr>
        <w:t>1</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比上年</w:t>
      </w:r>
      <w:r>
        <w:rPr>
          <w:rFonts w:hint="eastAsia" w:ascii="仿宋_GB2312" w:hAnsi="仿宋_GB2312" w:eastAsia="仿宋_GB2312" w:cs="仿宋_GB2312"/>
          <w:sz w:val="32"/>
          <w:szCs w:val="32"/>
          <w:highlight w:val="none"/>
          <w:lang w:eastAsia="zh-CN"/>
        </w:rPr>
        <w:t>预算数减少</w:t>
      </w:r>
      <w:r>
        <w:rPr>
          <w:rFonts w:hint="eastAsia" w:ascii="仿宋_GB2312" w:hAnsi="仿宋_GB2312" w:eastAsia="仿宋_GB2312" w:cs="仿宋_GB2312"/>
          <w:sz w:val="32"/>
          <w:szCs w:val="32"/>
          <w:highlight w:val="none"/>
          <w:lang w:val="en-US" w:eastAsia="zh-CN"/>
        </w:rPr>
        <w:t>16.00万元，</w:t>
      </w:r>
      <w:r>
        <w:rPr>
          <w:rFonts w:hint="eastAsia" w:ascii="仿宋_GB2312" w:hAnsi="仿宋_GB2312" w:eastAsia="仿宋_GB2312" w:cs="仿宋_GB2312"/>
          <w:sz w:val="32"/>
          <w:szCs w:val="32"/>
          <w:highlight w:val="none"/>
        </w:rPr>
        <w:t>下降47.06%</w:t>
      </w:r>
      <w:r>
        <w:rPr>
          <w:rFonts w:hint="eastAsia" w:ascii="仿宋_GB2312" w:eastAsia="仿宋_GB2312"/>
          <w:sz w:val="32"/>
          <w:szCs w:val="32"/>
          <w:highlight w:val="none"/>
          <w:lang w:val="en-US" w:eastAsia="zh-CN"/>
        </w:rPr>
        <w:t>，主要原因是计划</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年预算报废更新执法执勤</w:t>
      </w:r>
      <w:r>
        <w:rPr>
          <w:rFonts w:hint="eastAsia" w:ascii="仿宋_GB2312" w:hAnsi="仿宋_GB2312" w:eastAsia="仿宋_GB2312" w:cs="仿宋_GB2312"/>
          <w:color w:val="000000"/>
          <w:kern w:val="2"/>
          <w:sz w:val="32"/>
          <w:szCs w:val="32"/>
        </w:rPr>
        <w:t>用车</w:t>
      </w: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rPr>
        <w:t>辆，上年</w:t>
      </w:r>
      <w:r>
        <w:rPr>
          <w:rFonts w:hint="eastAsia" w:ascii="仿宋_GB2312" w:eastAsia="仿宋_GB2312"/>
          <w:sz w:val="32"/>
          <w:szCs w:val="32"/>
        </w:rPr>
        <w:t>报废更新</w:t>
      </w:r>
      <w:r>
        <w:rPr>
          <w:rFonts w:hint="eastAsia" w:ascii="仿宋_GB2312" w:eastAsia="仿宋_GB2312"/>
          <w:sz w:val="32"/>
          <w:szCs w:val="32"/>
          <w:lang w:val="en-US" w:eastAsia="zh-CN"/>
        </w:rPr>
        <w:t>2辆</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rPr>
        <w:t>45.00</w:t>
      </w:r>
      <w:r>
        <w:rPr>
          <w:rFonts w:hint="eastAsia" w:ascii="仿宋_GB2312" w:eastAsia="仿宋_GB2312"/>
          <w:sz w:val="32"/>
          <w:szCs w:val="32"/>
          <w:highlight w:val="none"/>
        </w:rPr>
        <w:t>万元，主要用于公务用车燃料费、维修费、过桥过路费、保险费</w:t>
      </w:r>
      <w:r>
        <w:rPr>
          <w:rFonts w:hint="eastAsia" w:ascii="仿宋_GB2312" w:eastAsia="仿宋_GB2312"/>
          <w:sz w:val="32"/>
          <w:szCs w:val="32"/>
          <w:highlight w:val="none"/>
          <w:lang w:eastAsia="zh-CN"/>
        </w:rPr>
        <w:t>，</w:t>
      </w:r>
      <w:r>
        <w:rPr>
          <w:rFonts w:hint="eastAsia" w:ascii="仿宋_GB2312" w:hAnsi="仿宋_GB2312" w:eastAsia="仿宋_GB2312" w:cs="仿宋_GB2312"/>
          <w:color w:val="000000"/>
          <w:sz w:val="32"/>
          <w:szCs w:val="32"/>
        </w:rPr>
        <w:t>与上年</w:t>
      </w:r>
      <w:r>
        <w:rPr>
          <w:rFonts w:hint="eastAsia" w:ascii="仿宋_GB2312" w:hAnsi="仿宋_GB2312" w:eastAsia="仿宋_GB2312" w:cs="仿宋_GB2312"/>
          <w:sz w:val="32"/>
          <w:szCs w:val="32"/>
        </w:rPr>
        <w:t>预算</w:t>
      </w:r>
      <w:r>
        <w:rPr>
          <w:rFonts w:hint="eastAsia" w:ascii="仿宋_GB2312" w:hAnsi="仿宋_GB2312" w:eastAsia="仿宋_GB2312" w:cs="仿宋_GB2312"/>
          <w:color w:val="000000"/>
          <w:sz w:val="32"/>
          <w:szCs w:val="32"/>
        </w:rPr>
        <w:t>数持平。</w:t>
      </w:r>
    </w:p>
    <w:p>
      <w:pPr>
        <w:keepNext w:val="0"/>
        <w:keepLines w:val="0"/>
        <w:pageBreakBefore w:val="0"/>
        <w:kinsoku/>
        <w:wordWrap/>
        <w:overflowPunct/>
        <w:topLinePunct w:val="0"/>
        <w:autoSpaceDE/>
        <w:autoSpaceDN/>
        <w:bidi w:val="0"/>
        <w:adjustRightInd/>
        <w:snapToGrid/>
        <w:spacing w:beforeLines="0" w:afterLines="0" w:line="60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jc w:val="both"/>
        <w:textAlignment w:val="auto"/>
        <w:outlineLvl w:val="9"/>
        <w:rPr>
          <w:rFonts w:hint="eastAsia" w:ascii="仿宋_GB2312" w:hAnsi="仿宋_GB2312" w:eastAsia="仿宋_GB2312" w:cs="仿宋_GB2312"/>
          <w:b/>
          <w:bCs w:val="0"/>
          <w:color w:val="000000"/>
          <w:sz w:val="32"/>
          <w:szCs w:val="32"/>
          <w:highlight w:val="none"/>
          <w:u w:val="none"/>
          <w:lang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r>
        <w:rPr>
          <w:rFonts w:hint="eastAsia" w:ascii="仿宋_GB2312" w:hAnsi="仿宋_GB2312" w:eastAsia="仿宋_GB2312" w:cs="仿宋_GB2312"/>
          <w:b/>
          <w:bCs w:val="0"/>
          <w:color w:val="000000"/>
          <w:sz w:val="32"/>
          <w:szCs w:val="32"/>
          <w:highlight w:val="none"/>
          <w:u w:val="none"/>
          <w:lang w:val="en-US" w:eastAsia="zh-CN"/>
        </w:rPr>
        <w:t>。</w:t>
      </w:r>
    </w:p>
    <w:p>
      <w:pPr>
        <w:pStyle w:val="6"/>
        <w:spacing w:line="52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color w:val="000000"/>
          <w:sz w:val="32"/>
          <w:szCs w:val="32"/>
        </w:rPr>
        <w:t>温州市龙湾区人民检察院本级1家</w:t>
      </w:r>
      <w:r>
        <w:rPr>
          <w:rFonts w:hint="eastAsia" w:ascii="仿宋_GB2312" w:eastAsia="仿宋_GB2312"/>
          <w:sz w:val="32"/>
          <w:szCs w:val="32"/>
        </w:rPr>
        <w:t>行政单位</w:t>
      </w:r>
      <w:r>
        <w:rPr>
          <w:rFonts w:hint="eastAsia" w:ascii="仿宋_GB2312" w:eastAsia="仿宋_GB2312"/>
          <w:color w:val="000000"/>
          <w:sz w:val="32"/>
          <w:szCs w:val="32"/>
        </w:rPr>
        <w:t xml:space="preserve">的机关运行经费财政拨款预算491.53万元，比上年预算减少0.02 </w:t>
      </w:r>
      <w:r>
        <w:rPr>
          <w:rFonts w:ascii="仿宋_GB2312" w:eastAsia="仿宋_GB2312"/>
          <w:color w:val="000000"/>
          <w:sz w:val="32"/>
          <w:szCs w:val="32"/>
        </w:rPr>
        <w:t xml:space="preserve"> </w:t>
      </w:r>
      <w:r>
        <w:rPr>
          <w:rFonts w:hint="eastAsia" w:ascii="仿宋_GB2312" w:eastAsia="仿宋_GB2312"/>
          <w:sz w:val="32"/>
          <w:szCs w:val="32"/>
        </w:rPr>
        <w:t>万元</w:t>
      </w:r>
      <w:r>
        <w:rPr>
          <w:rFonts w:hint="eastAsia" w:ascii="仿宋_GB2312" w:hAnsi="仿宋_GB2312" w:eastAsia="仿宋_GB2312"/>
          <w:kern w:val="2"/>
          <w:sz w:val="32"/>
          <w:szCs w:val="20"/>
          <w:lang w:bidi="ar"/>
        </w:rPr>
        <w:t>，下降</w:t>
      </w:r>
      <w:r>
        <w:rPr>
          <w:rFonts w:hint="eastAsia" w:ascii="仿宋_GB2312" w:hAnsi="仿宋_GB2312" w:eastAsia="仿宋_GB2312"/>
          <w:kern w:val="2"/>
          <w:sz w:val="32"/>
          <w:szCs w:val="20"/>
          <w:lang w:val="en-US" w:eastAsia="zh-CN" w:bidi="ar"/>
        </w:rPr>
        <w:t>0.00</w:t>
      </w:r>
      <w:r>
        <w:rPr>
          <w:rFonts w:ascii="仿宋_GB2312" w:hAnsi="仿宋_GB2312" w:eastAsia="仿宋_GB2312"/>
          <w:kern w:val="2"/>
          <w:sz w:val="32"/>
          <w:szCs w:val="20"/>
          <w:lang w:bidi="ar"/>
        </w:rPr>
        <w:t>%</w:t>
      </w:r>
      <w:r>
        <w:rPr>
          <w:rFonts w:hint="eastAsia" w:ascii="仿宋_GB2312" w:hAnsi="仿宋_GB2312" w:eastAsia="仿宋_GB2312"/>
          <w:kern w:val="2"/>
          <w:sz w:val="32"/>
          <w:szCs w:val="20"/>
          <w:lang w:bidi="ar"/>
        </w:rPr>
        <w:t>，</w:t>
      </w:r>
      <w:r>
        <w:rPr>
          <w:rFonts w:hint="eastAsia" w:ascii="仿宋_GB2312" w:hAnsi="仿宋_GB2312" w:eastAsia="仿宋_GB2312"/>
          <w:kern w:val="2"/>
          <w:sz w:val="32"/>
          <w:szCs w:val="20"/>
          <w:lang w:val="en-US" w:eastAsia="zh-CN" w:bidi="ar"/>
        </w:rPr>
        <w:t>基本与</w:t>
      </w:r>
      <w:r>
        <w:rPr>
          <w:rFonts w:hint="eastAsia" w:ascii="仿宋_GB2312" w:hAnsi="仿宋_GB2312" w:eastAsia="仿宋_GB2312" w:cs="仿宋_GB2312"/>
          <w:color w:val="000000"/>
          <w:sz w:val="32"/>
          <w:szCs w:val="32"/>
        </w:rPr>
        <w:t>上年</w:t>
      </w:r>
      <w:r>
        <w:rPr>
          <w:rFonts w:hint="eastAsia" w:ascii="仿宋_GB2312" w:hAnsi="仿宋_GB2312" w:eastAsia="仿宋_GB2312" w:cs="仿宋_GB2312"/>
          <w:sz w:val="32"/>
          <w:szCs w:val="32"/>
        </w:rPr>
        <w:t>预算</w:t>
      </w:r>
      <w:r>
        <w:rPr>
          <w:rFonts w:hint="eastAsia" w:ascii="仿宋_GB2312" w:hAnsi="仿宋_GB2312" w:eastAsia="仿宋_GB2312" w:cs="仿宋_GB2312"/>
          <w:color w:val="000000"/>
          <w:sz w:val="32"/>
          <w:szCs w:val="32"/>
        </w:rPr>
        <w:t>数持平</w:t>
      </w:r>
      <w:r>
        <w:rPr>
          <w:rFonts w:hint="eastAsia" w:ascii="仿宋_GB2312" w:eastAsia="仿宋_GB2312"/>
          <w:color w:val="000000"/>
          <w:sz w:val="32"/>
          <w:szCs w:val="32"/>
        </w:rPr>
        <w:t>。</w:t>
      </w:r>
    </w:p>
    <w:p>
      <w:pPr>
        <w:pStyle w:val="6"/>
        <w:keepNext w:val="0"/>
        <w:keepLines w:val="0"/>
        <w:pageBreakBefore w:val="0"/>
        <w:numPr>
          <w:ilvl w:val="0"/>
          <w:numId w:val="2"/>
        </w:numPr>
        <w:kinsoku/>
        <w:wordWrap/>
        <w:overflowPunct/>
        <w:topLinePunct w:val="0"/>
        <w:autoSpaceDE/>
        <w:autoSpaceDN/>
        <w:bidi w:val="0"/>
        <w:adjustRightInd/>
        <w:snapToGrid/>
        <w:spacing w:beforeLines="0" w:afterLines="0" w:line="60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6"/>
        <w:keepNext w:val="0"/>
        <w:keepLines w:val="0"/>
        <w:pageBreakBefore w:val="0"/>
        <w:kinsoku/>
        <w:wordWrap/>
        <w:overflowPunct/>
        <w:topLinePunct w:val="0"/>
        <w:autoSpaceDE/>
        <w:autoSpaceDN/>
        <w:bidi w:val="0"/>
        <w:adjustRightInd/>
        <w:snapToGrid/>
        <w:spacing w:beforeLines="0" w:afterLines="0" w:line="60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2024年</w:t>
      </w:r>
      <w:r>
        <w:rPr>
          <w:rFonts w:hint="eastAsia" w:ascii="仿宋_GB2312" w:eastAsia="仿宋_GB2312"/>
          <w:color w:val="000000"/>
          <w:sz w:val="32"/>
          <w:szCs w:val="32"/>
        </w:rPr>
        <w:t>温州市龙湾区人民检察院</w:t>
      </w:r>
      <w:r>
        <w:rPr>
          <w:rFonts w:hint="eastAsia" w:ascii="仿宋_GB2312" w:eastAsia="仿宋_GB2312"/>
          <w:color w:val="000000"/>
          <w:sz w:val="32"/>
          <w:szCs w:val="32"/>
          <w:highlight w:val="none"/>
          <w:lang w:eastAsia="zh-CN"/>
        </w:rPr>
        <w:t>政府采购预算总额</w:t>
      </w:r>
      <w:r>
        <w:rPr>
          <w:rFonts w:hint="eastAsia" w:ascii="仿宋_GB2312" w:eastAsia="仿宋_GB2312"/>
          <w:color w:val="000000"/>
          <w:sz w:val="32"/>
          <w:szCs w:val="32"/>
          <w:highlight w:val="none"/>
        </w:rPr>
        <w:t xml:space="preserve">91.25 </w:t>
      </w:r>
      <w:r>
        <w:rPr>
          <w:rFonts w:hint="eastAsia" w:ascii="仿宋_GB2312" w:eastAsia="仿宋_GB2312"/>
          <w:color w:val="000000"/>
          <w:sz w:val="32"/>
          <w:szCs w:val="32"/>
          <w:highlight w:val="none"/>
          <w:lang w:val="en-US" w:eastAsia="zh-CN"/>
        </w:rPr>
        <w:t>万元，其中：政府采购货物预算</w:t>
      </w:r>
      <w:r>
        <w:rPr>
          <w:rFonts w:hint="eastAsia" w:ascii="仿宋_GB2312" w:eastAsia="仿宋_GB2312"/>
          <w:color w:val="000000"/>
          <w:sz w:val="32"/>
          <w:szCs w:val="32"/>
          <w:highlight w:val="none"/>
        </w:rPr>
        <w:t xml:space="preserve">20.21 </w:t>
      </w:r>
      <w:r>
        <w:rPr>
          <w:rFonts w:hint="eastAsia" w:ascii="仿宋_GB2312" w:eastAsia="仿宋_GB2312"/>
          <w:color w:val="000000"/>
          <w:sz w:val="32"/>
          <w:szCs w:val="32"/>
          <w:highlight w:val="none"/>
          <w:lang w:val="en-US" w:eastAsia="zh-CN"/>
        </w:rPr>
        <w:t>万元、政府采购工程预算36.00万元、政府采购服务预算</w:t>
      </w:r>
      <w:r>
        <w:rPr>
          <w:rFonts w:hint="eastAsia" w:ascii="仿宋_GB2312" w:eastAsia="仿宋_GB2312"/>
          <w:color w:val="000000"/>
          <w:sz w:val="32"/>
          <w:szCs w:val="32"/>
          <w:highlight w:val="none"/>
        </w:rPr>
        <w:t>35.04</w:t>
      </w:r>
      <w:r>
        <w:rPr>
          <w:rFonts w:hint="eastAsia" w:ascii="仿宋_GB2312" w:eastAsia="仿宋_GB2312"/>
          <w:color w:val="000000"/>
          <w:sz w:val="32"/>
          <w:szCs w:val="32"/>
          <w:highlight w:val="none"/>
          <w:lang w:val="en-US" w:eastAsia="zh-CN"/>
        </w:rPr>
        <w:t>万元。</w:t>
      </w:r>
    </w:p>
    <w:p>
      <w:pPr>
        <w:pStyle w:val="6"/>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bidi w:val="0"/>
        <w:snapToGrid/>
        <w:spacing w:beforeLines="0" w:afterLines="0" w:line="60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截至2023年12月31日，</w:t>
      </w:r>
      <w:r>
        <w:rPr>
          <w:rFonts w:hint="eastAsia" w:ascii="仿宋_GB2312" w:eastAsia="仿宋_GB2312"/>
          <w:color w:val="000000"/>
          <w:sz w:val="32"/>
          <w:szCs w:val="32"/>
        </w:rPr>
        <w:t>温州市龙湾区人民检察院</w:t>
      </w:r>
      <w:r>
        <w:rPr>
          <w:rFonts w:hint="eastAsia" w:ascii="仿宋_GB2312" w:hAnsi="仿宋_GB2312" w:eastAsia="仿宋_GB2312" w:cs="仿宋_GB2312"/>
          <w:color w:val="auto"/>
          <w:spacing w:val="6"/>
          <w:sz w:val="32"/>
          <w:szCs w:val="32"/>
          <w:highlight w:val="none"/>
          <w:lang w:eastAsia="zh-CN"/>
        </w:rPr>
        <w:t>所属各预算单位共有车辆</w:t>
      </w:r>
      <w:r>
        <w:rPr>
          <w:rFonts w:hint="eastAsia" w:ascii="仿宋_GB2312" w:hAnsi="仿宋_GB2312" w:eastAsia="仿宋_GB2312" w:cs="仿宋_GB2312"/>
          <w:color w:val="auto"/>
          <w:sz w:val="32"/>
          <w:szCs w:val="32"/>
          <w:highlight w:val="none"/>
          <w:lang w:val="en-US" w:eastAsia="zh-CN"/>
        </w:rPr>
        <w:t xml:space="preserve">18辆，其中，应急保障用车0辆、老干部服务用车0辆、执法执勤用车13辆、特种专业技术用车5辆、行政执法专用车0辆。单位价值50万元以上通用设备1套，单位价值100万元以上专用设备0台（套）。 </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2024年部门预算安排购置车辆1辆，其中，省部级领导用车0辆、机要通信用车及应急保障用车0辆、执法执勤用车1辆、特种专业技术用车0辆、老干部服务用车0辆、行政执法专用车0辆。2024年部门预算安排购置单位价值50万元以上通用设备0台（套），单位价值100万元以上专用设备0（套）。</w:t>
      </w:r>
    </w:p>
    <w:p>
      <w:pPr>
        <w:pStyle w:val="6"/>
        <w:keepNext w:val="0"/>
        <w:keepLines w:val="0"/>
        <w:pageBreakBefore w:val="0"/>
        <w:numPr>
          <w:ilvl w:val="0"/>
          <w:numId w:val="0"/>
        </w:numPr>
        <w:kinsoku/>
        <w:wordWrap/>
        <w:overflowPunct/>
        <w:topLinePunct w:val="0"/>
        <w:autoSpaceDE/>
        <w:autoSpaceDN/>
        <w:bidi w:val="0"/>
        <w:adjustRightInd/>
        <w:snapToGrid/>
        <w:spacing w:beforeLines="0" w:afterLines="0" w:line="60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highlight w:val="none"/>
          <w:lang w:val="en-US" w:eastAsia="zh-CN"/>
        </w:rPr>
        <w:t>2024年</w:t>
      </w:r>
      <w:r>
        <w:rPr>
          <w:rFonts w:hint="eastAsia" w:ascii="仿宋_GB2312" w:eastAsia="仿宋_GB2312"/>
          <w:color w:val="000000"/>
          <w:sz w:val="32"/>
          <w:szCs w:val="32"/>
        </w:rPr>
        <w:t>温州市龙湾区人民检察院</w:t>
      </w:r>
      <w:r>
        <w:rPr>
          <w:rFonts w:hint="eastAsia" w:ascii="仿宋_GB2312" w:hAnsi="仿宋_GB2312" w:eastAsia="仿宋_GB2312" w:cs="仿宋_GB2312"/>
          <w:color w:val="auto"/>
          <w:sz w:val="32"/>
          <w:szCs w:val="32"/>
          <w:highlight w:val="none"/>
          <w:lang w:val="en-US" w:eastAsia="zh-CN"/>
        </w:rPr>
        <w:t>其他运转类项目和特定目标类项目均实行绩效目标管理，共计2个一级项目，涉及当年财政拨款269.65万元。同时，将按照相关制度规定开展绩效自评。一级项目绩效目标表，详见“区级部门项目支出绩效表”。</w:t>
      </w:r>
    </w:p>
    <w:p>
      <w:pPr>
        <w:pStyle w:val="6"/>
        <w:keepNext w:val="0"/>
        <w:keepLines w:val="0"/>
        <w:pageBreakBefore w:val="0"/>
        <w:kinsoku/>
        <w:wordWrap/>
        <w:overflowPunct/>
        <w:topLinePunct w:val="0"/>
        <w:autoSpaceDE/>
        <w:autoSpaceDN/>
        <w:bidi w:val="0"/>
        <w:adjustRightInd/>
        <w:snapToGrid/>
        <w:spacing w:beforeLines="0" w:afterLines="0" w:line="60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1.财政拨款收入：本级财政部门当年拨付的财政预算资金，包括一般公共预算财政拨款、政府性基金预算和国有资本经营预算财政拨款。</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2.财政专户管理资金:教育收费作为本部门的事业收入，纳入财政专户管理的资金。</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3.事业收入：事业单位开展专业业务活动及辅助活动所取得的收入，不含财政专户管理资金收入。</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预算”“国有资本经营预算”“财政专户管理资金”“事业收入”“事业单位经营收入”“上级补助收入”和“附属单位上缴收入”等之外取得的各项收入。</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6.上年结转：指以前年度尚未完成、结转到本年仍按原规定用途继续使用的资金。</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7.基本支出：是预算单位为保障其正常运转，完成日常工作任务所发生的支出，包括人员支出和日常公用支出。</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8.项目支出：是预算单位为完成其特定的行政工作任务或事业发展目标所发生的支出。</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napToGrid/>
        <w:spacing w:beforeLines="0" w:afterLines="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一般公共服务支出（类）党委办公厅（室）及相关机构事务（款）专项业务（项）：</w:t>
      </w:r>
      <w:r>
        <w:rPr>
          <w:rFonts w:hint="eastAsia" w:ascii="仿宋" w:hAnsi="仿宋" w:eastAsia="仿宋"/>
          <w:color w:val="000000"/>
          <w:kern w:val="2"/>
          <w:sz w:val="32"/>
          <w:szCs w:val="32"/>
          <w:highlight w:val="white"/>
        </w:rPr>
        <w:t>反映党委办公厅（室）及相关机构开展专项业务活动所发生的支出。</w:t>
      </w:r>
    </w:p>
    <w:p>
      <w:pPr>
        <w:spacing w:line="52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 公共安全支出（类）检察（款）行政运行（项）：是</w:t>
      </w:r>
      <w:r>
        <w:rPr>
          <w:rFonts w:hint="eastAsia" w:ascii="仿宋_GB2312" w:hAnsi="仿宋_GB2312" w:eastAsia="仿宋_GB2312" w:cs="仿宋_GB2312"/>
          <w:color w:val="000000" w:themeColor="text1"/>
          <w:sz w:val="32"/>
          <w:szCs w:val="32"/>
          <w14:textFill>
            <w14:solidFill>
              <w14:schemeClr w14:val="tx1"/>
            </w14:solidFill>
          </w14:textFill>
        </w:rPr>
        <w:t>指</w:t>
      </w:r>
      <w:r>
        <w:rPr>
          <w:rFonts w:hint="eastAsia" w:ascii="仿宋_GB2312" w:hAnsi="仿宋_GB2312" w:eastAsia="仿宋_GB2312" w:cs="仿宋_GB2312"/>
          <w:color w:val="000000"/>
          <w:sz w:val="32"/>
          <w:szCs w:val="32"/>
        </w:rPr>
        <w:t>反映行政单位(包括实行公务员管理的事业单位)的基本支出。</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4</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sz w:val="32"/>
          <w:szCs w:val="32"/>
        </w:rPr>
        <w:t xml:space="preserve"> 公共安全支出（类）检察（款）事业运行（项）</w:t>
      </w:r>
      <w:r>
        <w:rPr>
          <w:rFonts w:hint="eastAsia" w:ascii="仿宋_GB2312" w:hAnsi="仿宋_GB2312" w:eastAsia="仿宋_GB2312" w:cs="仿宋_GB2312"/>
          <w:color w:val="000000" w:themeColor="text1"/>
          <w:sz w:val="32"/>
          <w:szCs w:val="32"/>
          <w14:textFill>
            <w14:solidFill>
              <w14:schemeClr w14:val="tx1"/>
            </w14:solidFill>
          </w14:textFill>
        </w:rPr>
        <w:t>：指反映事业单位的基本支出，不包括行政单位（包括实行公务员管理的事业单位）后勤服务中心、医务室等附属事业单位。</w:t>
      </w:r>
    </w:p>
    <w:p>
      <w:pPr>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color w:val="000000"/>
          <w:sz w:val="32"/>
          <w:szCs w:val="32"/>
        </w:rPr>
        <w:t xml:space="preserve"> 公共安全支出（类）检察（款）其他检察支出（项）</w:t>
      </w:r>
      <w:r>
        <w:rPr>
          <w:rFonts w:hint="eastAsia" w:ascii="仿宋_GB2312" w:hAnsi="仿宋_GB2312" w:eastAsia="仿宋_GB2312" w:cs="仿宋_GB2312"/>
          <w:color w:val="000000" w:themeColor="text1"/>
          <w:sz w:val="32"/>
          <w:szCs w:val="32"/>
          <w14:textFill>
            <w14:solidFill>
              <w14:schemeClr w14:val="tx1"/>
            </w14:solidFill>
          </w14:textFill>
        </w:rPr>
        <w:t>：是指反映除上诉项目以外其他用于检察方面的支出。</w:t>
      </w:r>
    </w:p>
    <w:p>
      <w:pPr>
        <w:spacing w:line="520" w:lineRule="exact"/>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 科学技术支出（类）其他科学技术支出（款）其他科学技术支出（项）</w:t>
      </w:r>
      <w:r>
        <w:rPr>
          <w:rFonts w:hint="eastAsia" w:ascii="仿宋_GB2312" w:hAnsi="仿宋_GB2312" w:eastAsia="仿宋_GB2312" w:cs="仿宋_GB2312"/>
          <w:color w:val="000000" w:themeColor="text1"/>
          <w:sz w:val="32"/>
          <w:szCs w:val="32"/>
          <w:lang w:eastAsia="zh-CN"/>
          <w14:textFill>
            <w14:solidFill>
              <w14:schemeClr w14:val="tx1"/>
            </w14:solidFill>
          </w14:textFill>
        </w:rPr>
        <w:t>：反映其他科学技术支出中除以上各项外用于科技方面的支出。</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社会保障和就业支出（类）行政事业单位养老支出（款）机关事业单位基本养老保险缴费支出（项）：指反映机关事业单位实施养老保险制度由单位缴纳的基本养老保险费支出。</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社会保障和就业支出（类）行政事业单位养老支出（款）机关事业单位职业年金缴费支出（项）：指反映机关事业单位实施养老保险制度由单位实际缴纳的职业年金支出。</w:t>
      </w:r>
    </w:p>
    <w:p>
      <w:pPr>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w:t>
      </w:r>
      <w:r>
        <w:rPr>
          <w:rFonts w:hint="eastAsia" w:ascii="仿宋_GB2312" w:hAnsi="仿宋_GB2312" w:eastAsia="仿宋_GB2312" w:cs="仿宋_GB2312"/>
          <w:color w:val="000000"/>
          <w:sz w:val="32"/>
          <w:szCs w:val="32"/>
        </w:rPr>
        <w:t>卫生健康支出（类）行政事业单位医疗（款）行政单位医疗（项）</w:t>
      </w:r>
      <w:r>
        <w:rPr>
          <w:rFonts w:hint="eastAsia" w:ascii="仿宋_GB2312" w:hAnsi="仿宋_GB2312" w:eastAsia="仿宋_GB2312" w:cs="仿宋_GB2312"/>
          <w:color w:val="000000" w:themeColor="text1"/>
          <w:sz w:val="32"/>
          <w:szCs w:val="32"/>
          <w14:textFill>
            <w14:solidFill>
              <w14:schemeClr w14:val="tx1"/>
            </w14:solidFill>
          </w14:textFill>
        </w:rPr>
        <w:t>：是指反映财政部门安排的行政单位（包括实行公务员管理的事业单位，下同）基本医疗保险缴费经费，未参加医疗保险的行政单位的公费医疗经费，按国家规定享受离休人员、红军老战士待遇人员的医疗经费。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0.</w:t>
      </w:r>
      <w:r>
        <w:rPr>
          <w:rFonts w:ascii="仿宋_GB2312" w:hAnsi="仿宋_GB2312" w:eastAsia="仿宋_GB2312" w:cs="仿宋_GB2312"/>
          <w:color w:val="000000"/>
          <w:sz w:val="32"/>
          <w:szCs w:val="32"/>
        </w:rPr>
        <w:t>住房保障支出（类）住房改革支出（款）住房公积金（项）</w:t>
      </w:r>
      <w:r>
        <w:rPr>
          <w:rFonts w:hint="eastAsia" w:ascii="仿宋_GB2312" w:hAnsi="仿宋_GB2312" w:eastAsia="仿宋_GB2312" w:cs="仿宋_GB2312"/>
          <w:color w:val="000000" w:themeColor="text1"/>
          <w:sz w:val="32"/>
          <w:szCs w:val="32"/>
          <w14:textFill>
            <w14:solidFill>
              <w14:schemeClr w14:val="tx1"/>
            </w14:solidFill>
          </w14:textFill>
        </w:rPr>
        <w:t>：是指反映行政</w:t>
      </w:r>
      <w:r>
        <w:rPr>
          <w:rFonts w:hint="eastAsia" w:ascii="仿宋_GB2312" w:hAnsi="仿宋_GB2312" w:eastAsia="仿宋_GB2312" w:cs="仿宋_GB2312"/>
          <w:color w:val="000000"/>
          <w:sz w:val="32"/>
          <w:szCs w:val="32"/>
        </w:rPr>
        <w:t>事业单位按人力资源和社会保障部、财政部规定的基本工资和津贴补贴以及规定比例为职工缴纳的住房公积金。</w:t>
      </w:r>
    </w:p>
    <w:p>
      <w:pPr>
        <w:keepNext w:val="0"/>
        <w:keepLines w:val="0"/>
        <w:pageBreakBefore w:val="0"/>
        <w:kinsoku/>
        <w:wordWrap/>
        <w:overflowPunct/>
        <w:topLinePunct w:val="0"/>
        <w:bidi w:val="0"/>
        <w:snapToGrid/>
        <w:spacing w:line="600" w:lineRule="exact"/>
        <w:textAlignment w:val="auto"/>
        <w:rPr>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2000000000000000000"/>
    <w:charset w:val="86"/>
    <w:family w:val="script"/>
    <w:pitch w:val="default"/>
    <w:sig w:usb0="00000000" w:usb1="00000000" w:usb2="00000012" w:usb3="00000000" w:csb0="00040001" w:csb1="00000000"/>
  </w:font>
  <w:font w:name="楷体_GB2312">
    <w:altName w:val="汉仪楷体KW"/>
    <w:panose1 w:val="02010609030101010101"/>
    <w:charset w:val="86"/>
    <w:family w:val="auto"/>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B0936"/>
    <w:rsid w:val="151A76AC"/>
    <w:rsid w:val="1C6B0936"/>
    <w:rsid w:val="FFEE34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bCs/>
    </w:rPr>
  </w:style>
  <w:style w:type="paragraph" w:customStyle="1" w:styleId="6">
    <w:name w:val="p0"/>
    <w:basedOn w:val="1"/>
    <w:qFormat/>
    <w:uiPriority w:val="0"/>
    <w:pPr>
      <w:widowControl/>
    </w:pPr>
    <w:rPr>
      <w:kern w:val="0"/>
      <w:szCs w:val="21"/>
    </w:rPr>
  </w:style>
  <w:style w:type="paragraph" w:customStyle="1" w:styleId="7">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2024-03-11T10:44:00Z</dcterms:created>
  <dc:creator>东明</dc:creator>
  <cp:lastModifiedBy>东明</cp:lastModifiedBy>
  <dcterms:modified xsi:type="dcterms:W3CDTF">2024-03-11T10:49:49Z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5319CC0EB9B0498280B2A3DD362F1F4D</vt:lpwstr>
  </property>
</Properties>
</file>